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5A92" w14:textId="77777777" w:rsidR="00A81429" w:rsidRPr="00A81429" w:rsidRDefault="00A81429" w:rsidP="00A81429">
      <w:pPr>
        <w:suppressAutoHyphens/>
        <w:autoSpaceDE w:val="0"/>
        <w:autoSpaceDN w:val="0"/>
        <w:adjustRightInd w:val="0"/>
        <w:spacing w:after="360" w:line="480" w:lineRule="atLeast"/>
        <w:textAlignment w:val="center"/>
        <w:outlineLvl w:val="2"/>
        <w:rPr>
          <w:rFonts w:ascii="Arial" w:eastAsia="Calibri" w:hAnsi="Arial" w:cs="Arial"/>
          <w:color w:val="1E4D93"/>
          <w:spacing w:val="-5"/>
          <w:kern w:val="0"/>
          <w:sz w:val="28"/>
          <w:szCs w:val="28"/>
          <w:lang w:val="fr-CA"/>
          <w14:ligatures w14:val="none"/>
        </w:rPr>
      </w:pPr>
      <w:bookmarkStart w:id="0" w:name="_Toc188432674"/>
      <w:bookmarkStart w:id="1" w:name="_Toc188432773"/>
      <w:bookmarkStart w:id="2" w:name="_Toc188432895"/>
      <w:bookmarkStart w:id="3" w:name="_Toc189810136"/>
      <w:r w:rsidRPr="00A81429">
        <w:rPr>
          <w:rFonts w:ascii="Arial" w:eastAsia="Calibri" w:hAnsi="Arial" w:cs="Arial"/>
          <w:color w:val="1E4D93"/>
          <w:spacing w:val="-5"/>
          <w:kern w:val="0"/>
          <w:sz w:val="28"/>
          <w:szCs w:val="28"/>
          <w:lang w:val="fr-CA"/>
          <w14:ligatures w14:val="none"/>
        </w:rPr>
        <w:t>Bons soins au bon moment : Outil de planification</w:t>
      </w:r>
      <w:bookmarkEnd w:id="0"/>
      <w:bookmarkEnd w:id="1"/>
      <w:bookmarkEnd w:id="2"/>
      <w:bookmarkEnd w:id="3"/>
    </w:p>
    <w:p w14:paraId="59515ECA" w14:textId="77777777" w:rsidR="00A81429" w:rsidRPr="00A81429" w:rsidRDefault="00A81429" w:rsidP="00A81429">
      <w:pPr>
        <w:suppressAutoHyphens/>
        <w:autoSpaceDE w:val="0"/>
        <w:autoSpaceDN w:val="0"/>
        <w:adjustRightInd w:val="0"/>
        <w:spacing w:after="0" w:line="360" w:lineRule="atLeast"/>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En remplissant cet outil de planification, vous établirez votre compréhension commune de ce qui suit :</w:t>
      </w:r>
    </w:p>
    <w:p w14:paraId="21AE5DBA" w14:textId="77777777" w:rsidR="00A81429" w:rsidRPr="00A81429" w:rsidRDefault="00A81429" w:rsidP="00A81429">
      <w:pPr>
        <w:numPr>
          <w:ilvl w:val="0"/>
          <w:numId w:val="10"/>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la</w:t>
      </w:r>
      <w:proofErr w:type="gramEnd"/>
      <w:r w:rsidRPr="00A81429">
        <w:rPr>
          <w:rFonts w:ascii="Arial" w:eastAsia="Calibri" w:hAnsi="Arial" w:cs="Arial"/>
          <w:color w:val="000000"/>
          <w:kern w:val="0"/>
          <w:sz w:val="20"/>
          <w:szCs w:val="20"/>
          <w:lang w:val="fr-CA"/>
          <w14:ligatures w14:val="none"/>
        </w:rPr>
        <w:t xml:space="preserve"> façon dont les services de santé mentale offerts dans la communauté et les écoles collaborent à l’heure actuelle;</w:t>
      </w:r>
    </w:p>
    <w:p w14:paraId="394E6317" w14:textId="77777777" w:rsidR="00A81429" w:rsidRPr="00A81429" w:rsidRDefault="00A81429" w:rsidP="00A81429">
      <w:pPr>
        <w:numPr>
          <w:ilvl w:val="0"/>
          <w:numId w:val="10"/>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l’infrastructure</w:t>
      </w:r>
      <w:proofErr w:type="gramEnd"/>
      <w:r w:rsidRPr="00A81429">
        <w:rPr>
          <w:rFonts w:ascii="Arial" w:eastAsia="Calibri" w:hAnsi="Arial" w:cs="Arial"/>
          <w:color w:val="000000"/>
          <w:kern w:val="0"/>
          <w:sz w:val="20"/>
          <w:szCs w:val="20"/>
          <w:lang w:val="fr-CA"/>
          <w14:ligatures w14:val="none"/>
        </w:rPr>
        <w:t xml:space="preserve"> existante favorisant une planification coordonnée et concertée;</w:t>
      </w:r>
    </w:p>
    <w:p w14:paraId="0F3C3DE1" w14:textId="77777777" w:rsidR="00A81429" w:rsidRPr="00A81429" w:rsidRDefault="00A81429" w:rsidP="00A81429">
      <w:pPr>
        <w:numPr>
          <w:ilvl w:val="0"/>
          <w:numId w:val="10"/>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la</w:t>
      </w:r>
      <w:proofErr w:type="gramEnd"/>
      <w:r w:rsidRPr="00A81429">
        <w:rPr>
          <w:rFonts w:ascii="Arial" w:eastAsia="Calibri" w:hAnsi="Arial" w:cs="Arial"/>
          <w:color w:val="000000"/>
          <w:kern w:val="0"/>
          <w:sz w:val="20"/>
          <w:szCs w:val="20"/>
          <w:lang w:val="fr-CA"/>
          <w14:ligatures w14:val="none"/>
        </w:rPr>
        <w:t xml:space="preserve"> capacité du système à surveiller et à évaluer les services afin que des améliorations se produisent constamment;</w:t>
      </w:r>
    </w:p>
    <w:p w14:paraId="151E9005" w14:textId="77777777" w:rsidR="00A81429" w:rsidRPr="00A81429" w:rsidRDefault="00A81429" w:rsidP="00A81429">
      <w:pPr>
        <w:numPr>
          <w:ilvl w:val="0"/>
          <w:numId w:val="10"/>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la</w:t>
      </w:r>
      <w:proofErr w:type="gramEnd"/>
      <w:r w:rsidRPr="00A81429">
        <w:rPr>
          <w:rFonts w:ascii="Arial" w:eastAsia="Calibri" w:hAnsi="Arial" w:cs="Arial"/>
          <w:color w:val="000000"/>
          <w:kern w:val="0"/>
          <w:sz w:val="20"/>
          <w:szCs w:val="20"/>
          <w:lang w:val="fr-CA"/>
          <w14:ligatures w14:val="none"/>
        </w:rPr>
        <w:t xml:space="preserve"> méthode permettant de jeter les bases d’un plan d’action détaillé afin de mener à bien la mise en œuvre de </w:t>
      </w:r>
      <w:proofErr w:type="spellStart"/>
      <w:r w:rsidRPr="00A81429">
        <w:rPr>
          <w:rFonts w:ascii="Arial" w:eastAsia="Calibri" w:hAnsi="Arial" w:cs="Arial"/>
          <w:color w:val="000000"/>
          <w:kern w:val="0"/>
          <w:sz w:val="20"/>
          <w:szCs w:val="20"/>
          <w:lang w:val="fr-CA"/>
          <w14:ligatures w14:val="none"/>
        </w:rPr>
        <w:t>BSBM</w:t>
      </w:r>
      <w:proofErr w:type="spellEnd"/>
      <w:r w:rsidRPr="00A81429">
        <w:rPr>
          <w:rFonts w:ascii="Arial" w:eastAsia="Calibri" w:hAnsi="Arial" w:cs="Arial"/>
          <w:color w:val="000000"/>
          <w:kern w:val="0"/>
          <w:sz w:val="20"/>
          <w:szCs w:val="20"/>
          <w:lang w:val="fr-CA"/>
          <w14:ligatures w14:val="none"/>
        </w:rPr>
        <w:t>.</w:t>
      </w:r>
    </w:p>
    <w:p w14:paraId="5087DAE5" w14:textId="77777777" w:rsidR="00A81429" w:rsidRPr="00A81429" w:rsidRDefault="00A81429" w:rsidP="00A81429">
      <w:pPr>
        <w:suppressAutoHyphens/>
        <w:autoSpaceDE w:val="0"/>
        <w:autoSpaceDN w:val="0"/>
        <w:adjustRightInd w:val="0"/>
        <w:spacing w:after="360" w:line="360" w:lineRule="atLeast"/>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Cet outil orientera les discussions afin de promouvoir un degré élevé de convergence pour chaque composante de base. Il aidera également à définir les mesures déjà en place et à prendre au cours du processus de mise en œuvre.</w:t>
      </w:r>
    </w:p>
    <w:p w14:paraId="06E55D2F" w14:textId="77777777" w:rsidR="00A81429" w:rsidRPr="00A81429" w:rsidRDefault="00A81429" w:rsidP="00A81429">
      <w:pPr>
        <w:suppressAutoHyphens/>
        <w:autoSpaceDE w:val="0"/>
        <w:autoSpaceDN w:val="0"/>
        <w:adjustRightInd w:val="0"/>
        <w:spacing w:after="0" w:line="360" w:lineRule="atLeast"/>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xml:space="preserve">Les composantes de base de </w:t>
      </w:r>
      <w:proofErr w:type="spellStart"/>
      <w:r w:rsidRPr="00A81429">
        <w:rPr>
          <w:rFonts w:ascii="Arial" w:eastAsia="Calibri" w:hAnsi="Arial" w:cs="Arial"/>
          <w:color w:val="000000"/>
          <w:kern w:val="0"/>
          <w:sz w:val="20"/>
          <w:szCs w:val="20"/>
          <w:lang w:val="fr-CA"/>
          <w14:ligatures w14:val="none"/>
        </w:rPr>
        <w:t>BSBM</w:t>
      </w:r>
      <w:proofErr w:type="spellEnd"/>
      <w:r w:rsidRPr="00A81429">
        <w:rPr>
          <w:rFonts w:ascii="Arial" w:eastAsia="Calibri" w:hAnsi="Arial" w:cs="Arial"/>
          <w:color w:val="000000"/>
          <w:kern w:val="0"/>
          <w:sz w:val="20"/>
          <w:szCs w:val="20"/>
          <w:lang w:val="fr-CA"/>
          <w14:ligatures w14:val="none"/>
        </w:rPr>
        <w:t xml:space="preserve"> comprennent les suivantes :</w:t>
      </w:r>
    </w:p>
    <w:p w14:paraId="28348D52" w14:textId="77777777" w:rsidR="00A81429" w:rsidRPr="00A81429" w:rsidRDefault="00A81429" w:rsidP="00A81429">
      <w:pPr>
        <w:numPr>
          <w:ilvl w:val="0"/>
          <w:numId w:val="9"/>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Engagement et soutien en matière de leadership</w:t>
      </w:r>
    </w:p>
    <w:p w14:paraId="031E53F1" w14:textId="77777777" w:rsidR="00A81429" w:rsidRPr="00A81429" w:rsidRDefault="00A81429" w:rsidP="00A81429">
      <w:pPr>
        <w:numPr>
          <w:ilvl w:val="0"/>
          <w:numId w:val="9"/>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Communication et collaboration intersectorielles</w:t>
      </w:r>
    </w:p>
    <w:p w14:paraId="3D86ED2A" w14:textId="77777777" w:rsidR="00A81429" w:rsidRPr="00A81429" w:rsidRDefault="00A81429" w:rsidP="00A81429">
      <w:pPr>
        <w:numPr>
          <w:ilvl w:val="0"/>
          <w:numId w:val="9"/>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Protocoles pour l’élaboration et la mise en œuvre d’un système de voie d’accès aux soins</w:t>
      </w:r>
    </w:p>
    <w:p w14:paraId="7C4528F7" w14:textId="77777777" w:rsidR="00A81429" w:rsidRPr="00A81429" w:rsidRDefault="00A81429" w:rsidP="00A81429">
      <w:pPr>
        <w:numPr>
          <w:ilvl w:val="0"/>
          <w:numId w:val="9"/>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Formation et coaching uniformes et systématiques</w:t>
      </w:r>
    </w:p>
    <w:p w14:paraId="0441923B" w14:textId="77777777" w:rsidR="00A81429" w:rsidRPr="00A81429" w:rsidRDefault="00A81429" w:rsidP="00A81429">
      <w:pPr>
        <w:numPr>
          <w:ilvl w:val="0"/>
          <w:numId w:val="9"/>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Système de collecte de données et plan d’évaluation</w:t>
      </w:r>
    </w:p>
    <w:p w14:paraId="629396B5" w14:textId="77777777" w:rsidR="00A81429" w:rsidRPr="00A81429" w:rsidRDefault="00A81429" w:rsidP="00A81429">
      <w:pPr>
        <w:suppressAutoHyphens/>
        <w:autoSpaceDE w:val="0"/>
        <w:autoSpaceDN w:val="0"/>
        <w:adjustRightInd w:val="0"/>
        <w:spacing w:after="0" w:line="360" w:lineRule="atLeast"/>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xml:space="preserve">Les composantes de base de </w:t>
      </w:r>
      <w:proofErr w:type="spellStart"/>
      <w:r w:rsidRPr="00A81429">
        <w:rPr>
          <w:rFonts w:ascii="Arial" w:eastAsia="Calibri" w:hAnsi="Arial" w:cs="Arial"/>
          <w:color w:val="000000"/>
          <w:kern w:val="0"/>
          <w:sz w:val="20"/>
          <w:szCs w:val="20"/>
          <w:lang w:val="fr-CA"/>
          <w14:ligatures w14:val="none"/>
        </w:rPr>
        <w:t>BSBM</w:t>
      </w:r>
      <w:proofErr w:type="spellEnd"/>
      <w:r w:rsidRPr="00A81429">
        <w:rPr>
          <w:rFonts w:ascii="Arial" w:eastAsia="Calibri" w:hAnsi="Arial" w:cs="Arial"/>
          <w:color w:val="000000"/>
          <w:kern w:val="0"/>
          <w:sz w:val="20"/>
          <w:szCs w:val="20"/>
          <w:lang w:val="fr-CA"/>
          <w14:ligatures w14:val="none"/>
        </w:rPr>
        <w:t xml:space="preserve"> demeureront les mêmes dans tous les contextes. Cependant, leur prestation, leurs prestataires et les mesures de réussite peuvent sembler différentes d’une communauté à l’autre. Cette ressource vise à orienter les conversations avec votre équipe en vue de cibler les façons dont vous concrétiserez les composantes de base de </w:t>
      </w:r>
      <w:proofErr w:type="spellStart"/>
      <w:r w:rsidRPr="00A81429">
        <w:rPr>
          <w:rFonts w:ascii="Arial" w:eastAsia="Calibri" w:hAnsi="Arial" w:cs="Arial"/>
          <w:color w:val="000000"/>
          <w:kern w:val="0"/>
          <w:sz w:val="20"/>
          <w:szCs w:val="20"/>
          <w:lang w:val="fr-CA"/>
          <w14:ligatures w14:val="none"/>
        </w:rPr>
        <w:t>BSBM</w:t>
      </w:r>
      <w:proofErr w:type="spellEnd"/>
      <w:r w:rsidRPr="00A81429">
        <w:rPr>
          <w:rFonts w:ascii="Arial" w:eastAsia="Calibri" w:hAnsi="Arial" w:cs="Arial"/>
          <w:color w:val="000000"/>
          <w:kern w:val="0"/>
          <w:sz w:val="20"/>
          <w:szCs w:val="20"/>
          <w:lang w:val="fr-CA"/>
          <w14:ligatures w14:val="none"/>
        </w:rPr>
        <w:t xml:space="preserve"> au sein de votre communauté. Plus particulièrement, elle vous aidera à établir :</w:t>
      </w:r>
    </w:p>
    <w:p w14:paraId="53097D36" w14:textId="77777777" w:rsidR="00A81429" w:rsidRPr="00A81429" w:rsidRDefault="00A81429" w:rsidP="00A81429">
      <w:pPr>
        <w:numPr>
          <w:ilvl w:val="0"/>
          <w:numId w:val="11"/>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les</w:t>
      </w:r>
      <w:proofErr w:type="gramEnd"/>
      <w:r w:rsidRPr="00A81429">
        <w:rPr>
          <w:rFonts w:ascii="Arial" w:eastAsia="Calibri" w:hAnsi="Arial" w:cs="Arial"/>
          <w:color w:val="000000"/>
          <w:kern w:val="0"/>
          <w:sz w:val="20"/>
          <w:szCs w:val="20"/>
          <w:lang w:val="fr-CA"/>
          <w14:ligatures w14:val="none"/>
        </w:rPr>
        <w:t xml:space="preserve"> forces et les lacunes actuelles;</w:t>
      </w:r>
    </w:p>
    <w:p w14:paraId="2E156A31" w14:textId="77777777" w:rsidR="00A81429" w:rsidRPr="00A81429" w:rsidRDefault="00A81429" w:rsidP="00A81429">
      <w:pPr>
        <w:numPr>
          <w:ilvl w:val="0"/>
          <w:numId w:val="11"/>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à</w:t>
      </w:r>
      <w:proofErr w:type="gramEnd"/>
      <w:r w:rsidRPr="00A81429">
        <w:rPr>
          <w:rFonts w:ascii="Arial" w:eastAsia="Calibri" w:hAnsi="Arial" w:cs="Arial"/>
          <w:color w:val="000000"/>
          <w:kern w:val="0"/>
          <w:sz w:val="20"/>
          <w:szCs w:val="20"/>
          <w:lang w:val="fr-CA"/>
          <w14:ligatures w14:val="none"/>
        </w:rPr>
        <w:t xml:space="preserve"> quoi ressemblera chaque composante dans la réalité;</w:t>
      </w:r>
    </w:p>
    <w:p w14:paraId="0697B105" w14:textId="77777777" w:rsidR="00A81429" w:rsidRPr="00A81429" w:rsidRDefault="00A81429" w:rsidP="00A81429">
      <w:pPr>
        <w:numPr>
          <w:ilvl w:val="0"/>
          <w:numId w:val="11"/>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qui</w:t>
      </w:r>
      <w:proofErr w:type="gramEnd"/>
      <w:r w:rsidRPr="00A81429">
        <w:rPr>
          <w:rFonts w:ascii="Arial" w:eastAsia="Calibri" w:hAnsi="Arial" w:cs="Arial"/>
          <w:color w:val="000000"/>
          <w:kern w:val="0"/>
          <w:sz w:val="20"/>
          <w:szCs w:val="20"/>
          <w:lang w:val="fr-CA"/>
          <w14:ligatures w14:val="none"/>
        </w:rPr>
        <w:t xml:space="preserve"> seront les parties prenantes;</w:t>
      </w:r>
    </w:p>
    <w:p w14:paraId="046ED0C8" w14:textId="77777777" w:rsidR="00A81429" w:rsidRPr="00A81429" w:rsidRDefault="00A81429" w:rsidP="00A81429">
      <w:pPr>
        <w:numPr>
          <w:ilvl w:val="0"/>
          <w:numId w:val="11"/>
        </w:numPr>
        <w:suppressAutoHyphens/>
        <w:autoSpaceDE w:val="0"/>
        <w:autoSpaceDN w:val="0"/>
        <w:adjustRightInd w:val="0"/>
        <w:spacing w:after="120" w:line="240" w:lineRule="atLeast"/>
        <w:ind w:left="360"/>
        <w:textAlignment w:val="center"/>
        <w:rPr>
          <w:rFonts w:ascii="Arial" w:eastAsia="Calibri" w:hAnsi="Arial" w:cs="Arial"/>
          <w:color w:val="000000"/>
          <w:kern w:val="0"/>
          <w:sz w:val="20"/>
          <w:szCs w:val="20"/>
          <w:lang w:val="fr-CA"/>
          <w14:ligatures w14:val="none"/>
        </w:rPr>
      </w:pPr>
      <w:proofErr w:type="gramStart"/>
      <w:r w:rsidRPr="00A81429">
        <w:rPr>
          <w:rFonts w:ascii="Arial" w:eastAsia="Calibri" w:hAnsi="Arial" w:cs="Arial"/>
          <w:color w:val="000000"/>
          <w:kern w:val="0"/>
          <w:sz w:val="20"/>
          <w:szCs w:val="20"/>
          <w:lang w:val="fr-CA"/>
          <w14:ligatures w14:val="none"/>
        </w:rPr>
        <w:t>quels</w:t>
      </w:r>
      <w:proofErr w:type="gramEnd"/>
      <w:r w:rsidRPr="00A81429">
        <w:rPr>
          <w:rFonts w:ascii="Arial" w:eastAsia="Calibri" w:hAnsi="Arial" w:cs="Arial"/>
          <w:color w:val="000000"/>
          <w:kern w:val="0"/>
          <w:sz w:val="20"/>
          <w:szCs w:val="20"/>
          <w:lang w:val="fr-CA"/>
          <w14:ligatures w14:val="none"/>
        </w:rPr>
        <w:t xml:space="preserve"> seront les indicateurs de réussite.</w:t>
      </w:r>
    </w:p>
    <w:p w14:paraId="2A4C3278" w14:textId="77777777" w:rsidR="00A81429" w:rsidRPr="00A81429" w:rsidRDefault="00A81429" w:rsidP="00A81429">
      <w:pPr>
        <w:suppressAutoHyphens/>
        <w:autoSpaceDE w:val="0"/>
        <w:autoSpaceDN w:val="0"/>
        <w:adjustRightInd w:val="0"/>
        <w:spacing w:after="360" w:line="360" w:lineRule="atLeast"/>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Les renseignements provenant de cet outil vous aideront à élaborer un plan de travail et à prendre les mesures nécessaires aux prochaines étapes.</w:t>
      </w:r>
    </w:p>
    <w:p w14:paraId="3FEB6014" w14:textId="77777777" w:rsidR="00A81429" w:rsidRDefault="00A81429" w:rsidP="00A81429">
      <w:pPr>
        <w:spacing w:after="0" w:line="240" w:lineRule="auto"/>
        <w:rPr>
          <w:rFonts w:ascii="Arial" w:eastAsia="Calibri" w:hAnsi="Arial" w:cs="Arial"/>
          <w:color w:val="000000"/>
          <w:kern w:val="0"/>
          <w:sz w:val="20"/>
          <w:szCs w:val="20"/>
          <w:lang w:val="fr-CA"/>
          <w14:ligatures w14:val="none"/>
        </w:rPr>
        <w:sectPr w:rsidR="00A81429">
          <w:headerReference w:type="default" r:id="rId11"/>
          <w:pgSz w:w="12240" w:h="15840"/>
          <w:pgMar w:top="1440" w:right="1440" w:bottom="1440" w:left="1440" w:header="708" w:footer="708" w:gutter="0"/>
          <w:cols w:space="708"/>
          <w:docGrid w:linePitch="360"/>
        </w:sectPr>
      </w:pPr>
    </w:p>
    <w:p w14:paraId="49F781A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4"/>
        <w:gridCol w:w="3225"/>
        <w:gridCol w:w="3225"/>
        <w:gridCol w:w="3270"/>
      </w:tblGrid>
      <w:tr w:rsidR="00A81429" w:rsidRPr="00A81429" w14:paraId="42F68DDB" w14:textId="77777777" w:rsidTr="00EA4D28">
        <w:trPr>
          <w:trHeight w:val="300"/>
        </w:trPr>
        <w:tc>
          <w:tcPr>
            <w:tcW w:w="12944" w:type="dxa"/>
            <w:gridSpan w:val="4"/>
            <w:tcBorders>
              <w:top w:val="single" w:sz="6" w:space="0" w:color="auto"/>
              <w:left w:val="single" w:sz="6" w:space="0" w:color="auto"/>
              <w:bottom w:val="single" w:sz="6" w:space="0" w:color="auto"/>
              <w:right w:val="single" w:sz="6" w:space="0" w:color="auto"/>
            </w:tcBorders>
            <w:shd w:val="clear" w:color="auto" w:fill="C6D9F1"/>
            <w:hideMark/>
          </w:tcPr>
          <w:p w14:paraId="37368E1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br w:type="page"/>
            </w:r>
            <w:r w:rsidRPr="00A81429">
              <w:rPr>
                <w:rFonts w:ascii="Arial" w:eastAsia="Calibri" w:hAnsi="Arial" w:cs="Arial"/>
                <w:b/>
                <w:bCs/>
                <w:color w:val="000000"/>
                <w:kern w:val="0"/>
                <w:sz w:val="20"/>
                <w:szCs w:val="20"/>
                <w:lang w:val="fr-CA"/>
                <w14:ligatures w14:val="none"/>
              </w:rPr>
              <w:t>Engagement et soutien en matière de leadership</w:t>
            </w:r>
            <w:r w:rsidRPr="00A81429">
              <w:rPr>
                <w:rFonts w:ascii="Arial" w:eastAsia="Calibri" w:hAnsi="Arial" w:cs="Arial"/>
                <w:color w:val="000000"/>
                <w:kern w:val="0"/>
                <w:sz w:val="20"/>
                <w:szCs w:val="20"/>
                <w:lang w:val="fr-CA"/>
                <w14:ligatures w14:val="none"/>
              </w:rPr>
              <w:t xml:space="preserve"> – La réussite de la mise en œuvre repose sur un soutien actif et un engagement continu de la part des </w:t>
            </w:r>
            <w:proofErr w:type="spellStart"/>
            <w:r w:rsidRPr="00A81429">
              <w:rPr>
                <w:rFonts w:ascii="Arial" w:eastAsia="Calibri" w:hAnsi="Arial" w:cs="Arial"/>
                <w:color w:val="000000"/>
                <w:kern w:val="0"/>
                <w:sz w:val="20"/>
                <w:szCs w:val="20"/>
                <w:lang w:val="fr-CA"/>
                <w14:ligatures w14:val="none"/>
              </w:rPr>
              <w:t>dirigeant.</w:t>
            </w:r>
            <w:proofErr w:type="gramStart"/>
            <w:r w:rsidRPr="00A81429">
              <w:rPr>
                <w:rFonts w:ascii="Arial" w:eastAsia="Calibri" w:hAnsi="Arial" w:cs="Arial"/>
                <w:color w:val="000000"/>
                <w:kern w:val="0"/>
                <w:sz w:val="20"/>
                <w:szCs w:val="20"/>
                <w:lang w:val="fr-CA"/>
                <w14:ligatures w14:val="none"/>
              </w:rPr>
              <w:t>e.s</w:t>
            </w:r>
            <w:proofErr w:type="spellEnd"/>
            <w:proofErr w:type="gramEnd"/>
            <w:r w:rsidRPr="00A81429">
              <w:rPr>
                <w:rFonts w:ascii="Arial" w:eastAsia="Calibri" w:hAnsi="Arial" w:cs="Arial"/>
                <w:color w:val="000000"/>
                <w:kern w:val="0"/>
                <w:sz w:val="20"/>
                <w:szCs w:val="20"/>
                <w:lang w:val="fr-CA"/>
                <w14:ligatures w14:val="none"/>
              </w:rPr>
              <w:t xml:space="preserve"> de tous les organismes participants. </w:t>
            </w:r>
          </w:p>
        </w:tc>
      </w:tr>
      <w:tr w:rsidR="00A81429" w:rsidRPr="00A81429" w14:paraId="483FD7F3" w14:textId="77777777" w:rsidTr="00A81429">
        <w:trPr>
          <w:trHeight w:val="300"/>
        </w:trPr>
        <w:tc>
          <w:tcPr>
            <w:tcW w:w="3224" w:type="dxa"/>
            <w:tcBorders>
              <w:top w:val="single" w:sz="6" w:space="0" w:color="auto"/>
              <w:left w:val="single" w:sz="6" w:space="0" w:color="auto"/>
              <w:bottom w:val="single" w:sz="6" w:space="0" w:color="auto"/>
              <w:right w:val="single" w:sz="6" w:space="0" w:color="auto"/>
            </w:tcBorders>
            <w:shd w:val="clear" w:color="auto" w:fill="1F2A59"/>
            <w:hideMark/>
          </w:tcPr>
          <w:p w14:paraId="07ACE18E" w14:textId="77777777" w:rsidR="00A81429" w:rsidRPr="00A81429" w:rsidRDefault="00A81429" w:rsidP="00A81429">
            <w:pPr>
              <w:spacing w:after="0" w:line="240" w:lineRule="auto"/>
              <w:rPr>
                <w:rFonts w:ascii="Arial" w:eastAsia="Calibri" w:hAnsi="Arial" w:cs="Arial"/>
                <w:color w:val="B8B8B8"/>
                <w:kern w:val="0"/>
                <w:sz w:val="20"/>
                <w:szCs w:val="20"/>
                <w:lang w:val="fr-CA"/>
                <w14:ligatures w14:val="none"/>
              </w:rPr>
            </w:pPr>
            <w:r w:rsidRPr="00A81429">
              <w:rPr>
                <w:rFonts w:ascii="Arial" w:eastAsia="Calibri" w:hAnsi="Arial" w:cs="Arial"/>
                <w:b/>
                <w:color w:val="B8B8B8"/>
                <w:kern w:val="0"/>
                <w:sz w:val="20"/>
                <w:szCs w:val="20"/>
                <w:lang w:val="fr-CA"/>
                <w14:ligatures w14:val="none"/>
              </w:rPr>
              <w:t>Composante de base</w:t>
            </w:r>
            <w:r w:rsidRPr="00A81429">
              <w:rPr>
                <w:rFonts w:ascii="Arial" w:eastAsia="Calibri" w:hAnsi="Arial" w:cs="Arial"/>
                <w:color w:val="B8B8B8"/>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1F2A59"/>
            <w:hideMark/>
          </w:tcPr>
          <w:p w14:paraId="0E55B3A5"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Comment sera-t-elle concrétisée?</w:t>
            </w:r>
            <w:r w:rsidRPr="00A81429">
              <w:rPr>
                <w:rFonts w:ascii="Arial" w:eastAsia="Calibri" w:hAnsi="Arial" w:cs="Arial"/>
                <w:color w:val="EAEAEA"/>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1F2A59"/>
            <w:hideMark/>
          </w:tcPr>
          <w:p w14:paraId="08D9771E"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Qui seront les parties prenantes?</w:t>
            </w:r>
            <w:r w:rsidRPr="00A81429">
              <w:rPr>
                <w:rFonts w:ascii="Arial" w:eastAsia="Calibri" w:hAnsi="Arial" w:cs="Arial"/>
                <w:color w:val="EAEAEA"/>
                <w:kern w:val="0"/>
                <w:sz w:val="20"/>
                <w:szCs w:val="20"/>
                <w:lang w:val="fr-CA"/>
                <w14:ligatures w14:val="none"/>
              </w:rPr>
              <w:t> </w:t>
            </w:r>
          </w:p>
        </w:tc>
        <w:tc>
          <w:tcPr>
            <w:tcW w:w="3270" w:type="dxa"/>
            <w:tcBorders>
              <w:top w:val="single" w:sz="6" w:space="0" w:color="auto"/>
              <w:left w:val="single" w:sz="6" w:space="0" w:color="auto"/>
              <w:bottom w:val="single" w:sz="6" w:space="0" w:color="auto"/>
              <w:right w:val="single" w:sz="6" w:space="0" w:color="auto"/>
            </w:tcBorders>
            <w:shd w:val="clear" w:color="auto" w:fill="1F2A59"/>
            <w:hideMark/>
          </w:tcPr>
          <w:p w14:paraId="19BB79E4"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Quels seront les indicateurs de réussite?</w:t>
            </w:r>
            <w:r w:rsidRPr="00A81429">
              <w:rPr>
                <w:rFonts w:ascii="Arial" w:eastAsia="Calibri" w:hAnsi="Arial" w:cs="Arial"/>
                <w:color w:val="EAEAEA"/>
                <w:kern w:val="0"/>
                <w:sz w:val="20"/>
                <w:szCs w:val="20"/>
                <w:lang w:val="fr-CA"/>
                <w14:ligatures w14:val="none"/>
              </w:rPr>
              <w:t> </w:t>
            </w:r>
          </w:p>
        </w:tc>
      </w:tr>
      <w:tr w:rsidR="00A81429" w:rsidRPr="00A81429" w14:paraId="0E368AEB" w14:textId="77777777" w:rsidTr="00EA4D28">
        <w:trPr>
          <w:trHeight w:val="300"/>
        </w:trPr>
        <w:tc>
          <w:tcPr>
            <w:tcW w:w="3224" w:type="dxa"/>
            <w:tcBorders>
              <w:top w:val="single" w:sz="6" w:space="0" w:color="auto"/>
              <w:left w:val="single" w:sz="6" w:space="0" w:color="auto"/>
              <w:bottom w:val="single" w:sz="6" w:space="0" w:color="auto"/>
              <w:right w:val="single" w:sz="6" w:space="0" w:color="auto"/>
            </w:tcBorders>
            <w:hideMark/>
          </w:tcPr>
          <w:p w14:paraId="544C60F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L’inclusion et la participation active de la direction de tous les organismes offrant des services de santé mentale aux enfants et aux familles au sein de la communauté convenue.</w:t>
            </w:r>
          </w:p>
          <w:p w14:paraId="1131B05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La reconnaissance et l’engagement explicites des organismes de financement, du gouvernement ainsi que de la direction des conseils scolaires et des organismes communautaires (conformément aux exigences de la note Politique/Programmes 169 s’appliquant aux conseils scolaires et aux plans de services pour les organismes responsables).</w:t>
            </w:r>
          </w:p>
          <w:p w14:paraId="3A46B8B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L’adoption et l’engagement à l’égard du processus de mise en œuvre et du soutien des organismes intermédiaires. </w:t>
            </w:r>
          </w:p>
          <w:p w14:paraId="46285C4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xml:space="preserve">L’engagement à promouvoir et à concrétiser la vision du système de soins auprès des </w:t>
            </w:r>
            <w:proofErr w:type="spellStart"/>
            <w:r w:rsidRPr="00A81429">
              <w:rPr>
                <w:rFonts w:ascii="Arial" w:eastAsia="Calibri" w:hAnsi="Arial" w:cs="Arial"/>
                <w:color w:val="000000"/>
                <w:kern w:val="0"/>
                <w:sz w:val="20"/>
                <w:szCs w:val="20"/>
                <w:lang w:val="fr-CA"/>
                <w14:ligatures w14:val="none"/>
              </w:rPr>
              <w:t>dirigeant.</w:t>
            </w:r>
            <w:proofErr w:type="gramStart"/>
            <w:r w:rsidRPr="00A81429">
              <w:rPr>
                <w:rFonts w:ascii="Arial" w:eastAsia="Calibri" w:hAnsi="Arial" w:cs="Arial"/>
                <w:color w:val="000000"/>
                <w:kern w:val="0"/>
                <w:sz w:val="20"/>
                <w:szCs w:val="20"/>
                <w:lang w:val="fr-CA"/>
                <w14:ligatures w14:val="none"/>
              </w:rPr>
              <w:t>e.s</w:t>
            </w:r>
            <w:proofErr w:type="spellEnd"/>
            <w:proofErr w:type="gramEnd"/>
            <w:r w:rsidRPr="00A81429">
              <w:rPr>
                <w:rFonts w:ascii="Arial" w:eastAsia="Calibri" w:hAnsi="Arial" w:cs="Arial"/>
                <w:color w:val="000000"/>
                <w:kern w:val="0"/>
                <w:sz w:val="20"/>
                <w:szCs w:val="20"/>
                <w:lang w:val="fr-CA"/>
                <w14:ligatures w14:val="none"/>
              </w:rPr>
              <w:t xml:space="preserve"> de tous les secteurs. </w:t>
            </w:r>
          </w:p>
        </w:tc>
        <w:tc>
          <w:tcPr>
            <w:tcW w:w="3225" w:type="dxa"/>
            <w:tcBorders>
              <w:top w:val="single" w:sz="6" w:space="0" w:color="auto"/>
              <w:left w:val="single" w:sz="6" w:space="0" w:color="auto"/>
              <w:bottom w:val="single" w:sz="6" w:space="0" w:color="auto"/>
              <w:right w:val="single" w:sz="6" w:space="0" w:color="auto"/>
            </w:tcBorders>
            <w:hideMark/>
          </w:tcPr>
          <w:p w14:paraId="1568106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ce à quoi ressemblera cette composante dans la réalité.</w:t>
            </w:r>
          </w:p>
          <w:p w14:paraId="544A9470"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C2D760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07161FF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76D4573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B238E3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Les mesures en place :</w:t>
            </w:r>
          </w:p>
          <w:p w14:paraId="2E13795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C23FD7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BC0854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3C662C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CC7CED8"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mesures à prendre :</w:t>
            </w:r>
          </w:p>
          <w:p w14:paraId="785725E8"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425635A2"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0054678A"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4114CAE3"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55B83152"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stratégies possibles pour aborder ce travail :</w:t>
            </w:r>
          </w:p>
          <w:p w14:paraId="1648EA4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064FCD2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hideMark/>
          </w:tcPr>
          <w:p w14:paraId="3E7E2F9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Dressez une liste des parties prenantes (personnes, partenaires) à la prestation de cette composante.</w:t>
            </w:r>
          </w:p>
          <w:p w14:paraId="09F4158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c>
          <w:tcPr>
            <w:tcW w:w="3270" w:type="dxa"/>
            <w:tcBorders>
              <w:top w:val="single" w:sz="6" w:space="0" w:color="auto"/>
              <w:left w:val="single" w:sz="6" w:space="0" w:color="auto"/>
              <w:bottom w:val="single" w:sz="6" w:space="0" w:color="auto"/>
              <w:right w:val="single" w:sz="6" w:space="0" w:color="auto"/>
            </w:tcBorders>
            <w:hideMark/>
          </w:tcPr>
          <w:p w14:paraId="73EA06C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de quelle façon vous mesurerez et évaluerez la réussite de cette composante.</w:t>
            </w:r>
          </w:p>
          <w:p w14:paraId="7412BF0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r w:rsidR="00A81429" w:rsidRPr="00A81429" w14:paraId="10DE40FA" w14:textId="77777777" w:rsidTr="00EA4D28">
        <w:trPr>
          <w:trHeight w:val="300"/>
        </w:trPr>
        <w:tc>
          <w:tcPr>
            <w:tcW w:w="12944" w:type="dxa"/>
            <w:gridSpan w:val="4"/>
            <w:tcBorders>
              <w:top w:val="single" w:sz="6" w:space="0" w:color="auto"/>
              <w:left w:val="single" w:sz="6" w:space="0" w:color="auto"/>
              <w:bottom w:val="single" w:sz="6" w:space="0" w:color="auto"/>
              <w:right w:val="single" w:sz="6" w:space="0" w:color="auto"/>
            </w:tcBorders>
            <w:hideMark/>
          </w:tcPr>
          <w:p w14:paraId="5D7C0F1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nos forces actuelles sur lesquelles nous pouvons miser?</w:t>
            </w:r>
          </w:p>
          <w:p w14:paraId="7B5BEE9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r w:rsidR="00A81429" w:rsidRPr="00A81429" w14:paraId="416376FC" w14:textId="77777777" w:rsidTr="00EA4D28">
        <w:trPr>
          <w:trHeight w:val="300"/>
        </w:trPr>
        <w:tc>
          <w:tcPr>
            <w:tcW w:w="12944" w:type="dxa"/>
            <w:gridSpan w:val="4"/>
            <w:tcBorders>
              <w:top w:val="single" w:sz="6" w:space="0" w:color="auto"/>
              <w:left w:val="single" w:sz="6" w:space="0" w:color="auto"/>
              <w:bottom w:val="single" w:sz="6" w:space="0" w:color="auto"/>
              <w:right w:val="single" w:sz="6" w:space="0" w:color="auto"/>
            </w:tcBorders>
            <w:hideMark/>
          </w:tcPr>
          <w:p w14:paraId="396F69F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les lacunes dont nous devons avoir conscience et de quelle façon pouvons-nous les atténuer?</w:t>
            </w:r>
          </w:p>
          <w:p w14:paraId="024237C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bl>
    <w:p w14:paraId="1FD86E4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D0B644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br w:type="page"/>
      </w:r>
    </w:p>
    <w:p w14:paraId="49129A0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tbl>
      <w:tblPr>
        <w:tblW w:w="1227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3948"/>
        <w:gridCol w:w="11"/>
        <w:gridCol w:w="2693"/>
        <w:gridCol w:w="11"/>
        <w:gridCol w:w="2775"/>
        <w:gridCol w:w="11"/>
        <w:gridCol w:w="2801"/>
        <w:gridCol w:w="13"/>
      </w:tblGrid>
      <w:tr w:rsidR="00A81429" w:rsidRPr="00A81429" w14:paraId="0C26D433" w14:textId="77777777" w:rsidTr="00EA4D28">
        <w:trPr>
          <w:gridBefore w:val="1"/>
          <w:wBefore w:w="11" w:type="dxa"/>
          <w:trHeight w:val="292"/>
        </w:trPr>
        <w:tc>
          <w:tcPr>
            <w:tcW w:w="12263" w:type="dxa"/>
            <w:gridSpan w:val="8"/>
            <w:tcBorders>
              <w:top w:val="single" w:sz="6" w:space="0" w:color="auto"/>
              <w:left w:val="single" w:sz="6" w:space="0" w:color="auto"/>
              <w:bottom w:val="single" w:sz="6" w:space="0" w:color="auto"/>
              <w:right w:val="single" w:sz="6" w:space="0" w:color="auto"/>
            </w:tcBorders>
            <w:shd w:val="clear" w:color="auto" w:fill="C6D9F1"/>
            <w:hideMark/>
          </w:tcPr>
          <w:p w14:paraId="69AC257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Communication et collaboration intersectorielles</w:t>
            </w:r>
            <w:r w:rsidRPr="00A81429">
              <w:rPr>
                <w:rFonts w:ascii="Arial" w:eastAsia="Calibri" w:hAnsi="Arial" w:cs="Arial"/>
                <w:color w:val="000000"/>
                <w:kern w:val="0"/>
                <w:sz w:val="20"/>
                <w:szCs w:val="20"/>
                <w:lang w:val="fr-CA"/>
                <w14:ligatures w14:val="none"/>
              </w:rPr>
              <w:t xml:space="preserve"> – Le processus décisionnel collaboratif est tributaire d’une collaboration entre les organismes et de l’établissement de voies de communication constante permettant de maintenir l’ensemble des partenaires participants informés et influents. </w:t>
            </w:r>
          </w:p>
        </w:tc>
      </w:tr>
      <w:tr w:rsidR="00A81429" w:rsidRPr="00A81429" w14:paraId="5ABD28C0" w14:textId="77777777" w:rsidTr="00A81429">
        <w:trPr>
          <w:gridBefore w:val="1"/>
          <w:wBefore w:w="11" w:type="dxa"/>
          <w:trHeight w:val="292"/>
        </w:trPr>
        <w:tc>
          <w:tcPr>
            <w:tcW w:w="3959" w:type="dxa"/>
            <w:gridSpan w:val="2"/>
            <w:tcBorders>
              <w:top w:val="single" w:sz="6" w:space="0" w:color="auto"/>
              <w:left w:val="single" w:sz="6" w:space="0" w:color="auto"/>
              <w:bottom w:val="single" w:sz="6" w:space="0" w:color="auto"/>
              <w:right w:val="single" w:sz="6" w:space="0" w:color="auto"/>
            </w:tcBorders>
            <w:shd w:val="clear" w:color="auto" w:fill="1F2A59"/>
            <w:hideMark/>
          </w:tcPr>
          <w:p w14:paraId="48A76D50" w14:textId="77777777" w:rsidR="00A81429" w:rsidRPr="00A81429" w:rsidRDefault="00A81429" w:rsidP="00A81429">
            <w:pPr>
              <w:spacing w:after="0" w:line="240" w:lineRule="auto"/>
              <w:rPr>
                <w:rFonts w:ascii="Arial" w:eastAsia="Calibri" w:hAnsi="Arial" w:cs="Arial"/>
                <w:color w:val="B8B8B8"/>
                <w:kern w:val="0"/>
                <w:sz w:val="20"/>
                <w:szCs w:val="20"/>
                <w:lang w:val="fr-CA"/>
                <w14:ligatures w14:val="none"/>
              </w:rPr>
            </w:pPr>
            <w:r w:rsidRPr="00A81429">
              <w:rPr>
                <w:rFonts w:ascii="Arial" w:eastAsia="Calibri" w:hAnsi="Arial" w:cs="Arial"/>
                <w:b/>
                <w:color w:val="B8B8B8"/>
                <w:kern w:val="0"/>
                <w:sz w:val="20"/>
                <w:szCs w:val="20"/>
                <w:lang w:val="fr-CA"/>
                <w14:ligatures w14:val="none"/>
              </w:rPr>
              <w:t>Composante de base</w:t>
            </w:r>
            <w:r w:rsidRPr="00A81429">
              <w:rPr>
                <w:rFonts w:ascii="Arial" w:eastAsia="Calibri" w:hAnsi="Arial" w:cs="Arial"/>
                <w:color w:val="B8B8B8"/>
                <w:kern w:val="0"/>
                <w:sz w:val="20"/>
                <w:szCs w:val="20"/>
                <w:lang w:val="fr-CA"/>
                <w14:ligatures w14:val="none"/>
              </w:rPr>
              <w:t> </w:t>
            </w:r>
          </w:p>
        </w:tc>
        <w:tc>
          <w:tcPr>
            <w:tcW w:w="2704" w:type="dxa"/>
            <w:gridSpan w:val="2"/>
            <w:tcBorders>
              <w:top w:val="single" w:sz="6" w:space="0" w:color="auto"/>
              <w:left w:val="single" w:sz="6" w:space="0" w:color="auto"/>
              <w:bottom w:val="single" w:sz="6" w:space="0" w:color="auto"/>
              <w:right w:val="single" w:sz="6" w:space="0" w:color="auto"/>
            </w:tcBorders>
            <w:shd w:val="clear" w:color="auto" w:fill="1F2A59"/>
            <w:hideMark/>
          </w:tcPr>
          <w:p w14:paraId="5A196629"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Comment sera-t-elle concrétisée?</w:t>
            </w:r>
            <w:r w:rsidRPr="00A81429">
              <w:rPr>
                <w:rFonts w:ascii="Arial" w:eastAsia="Calibri" w:hAnsi="Arial" w:cs="Arial"/>
                <w:color w:val="EAEAEA"/>
                <w:kern w:val="0"/>
                <w:sz w:val="20"/>
                <w:szCs w:val="20"/>
                <w:lang w:val="fr-CA"/>
                <w14:ligatures w14:val="none"/>
              </w:rPr>
              <w:t> </w:t>
            </w:r>
          </w:p>
        </w:tc>
        <w:tc>
          <w:tcPr>
            <w:tcW w:w="2786" w:type="dxa"/>
            <w:gridSpan w:val="2"/>
            <w:tcBorders>
              <w:top w:val="single" w:sz="6" w:space="0" w:color="auto"/>
              <w:left w:val="single" w:sz="6" w:space="0" w:color="auto"/>
              <w:bottom w:val="single" w:sz="6" w:space="0" w:color="auto"/>
              <w:right w:val="single" w:sz="6" w:space="0" w:color="auto"/>
            </w:tcBorders>
            <w:shd w:val="clear" w:color="auto" w:fill="1F2A59"/>
            <w:hideMark/>
          </w:tcPr>
          <w:p w14:paraId="1B711368"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Qui seront les parties prenantes?</w:t>
            </w:r>
            <w:r w:rsidRPr="00A81429">
              <w:rPr>
                <w:rFonts w:ascii="Arial" w:eastAsia="Calibri" w:hAnsi="Arial" w:cs="Arial"/>
                <w:color w:val="EAEAEA"/>
                <w:kern w:val="0"/>
                <w:sz w:val="20"/>
                <w:szCs w:val="20"/>
                <w:lang w:val="fr-CA"/>
                <w14:ligatures w14:val="none"/>
              </w:rPr>
              <w:t> </w:t>
            </w:r>
          </w:p>
        </w:tc>
        <w:tc>
          <w:tcPr>
            <w:tcW w:w="2812" w:type="dxa"/>
            <w:gridSpan w:val="2"/>
            <w:tcBorders>
              <w:top w:val="single" w:sz="6" w:space="0" w:color="auto"/>
              <w:left w:val="single" w:sz="6" w:space="0" w:color="auto"/>
              <w:bottom w:val="single" w:sz="6" w:space="0" w:color="auto"/>
              <w:right w:val="single" w:sz="6" w:space="0" w:color="auto"/>
            </w:tcBorders>
            <w:shd w:val="clear" w:color="auto" w:fill="1F2A59"/>
            <w:hideMark/>
          </w:tcPr>
          <w:p w14:paraId="5C022E75"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Quels seront les indicateurs de réussite?</w:t>
            </w:r>
            <w:r w:rsidRPr="00A81429">
              <w:rPr>
                <w:rFonts w:ascii="Arial" w:eastAsia="Calibri" w:hAnsi="Arial" w:cs="Arial"/>
                <w:color w:val="EAEAEA"/>
                <w:kern w:val="0"/>
                <w:sz w:val="20"/>
                <w:szCs w:val="20"/>
                <w:lang w:val="fr-CA"/>
                <w14:ligatures w14:val="none"/>
              </w:rPr>
              <w:t> </w:t>
            </w:r>
          </w:p>
        </w:tc>
      </w:tr>
      <w:tr w:rsidR="00A81429" w:rsidRPr="00A81429" w14:paraId="35253736" w14:textId="77777777" w:rsidTr="00EA4D28">
        <w:trPr>
          <w:gridAfter w:val="1"/>
          <w:wAfter w:w="13" w:type="dxa"/>
          <w:trHeight w:val="292"/>
        </w:trPr>
        <w:tc>
          <w:tcPr>
            <w:tcW w:w="3959" w:type="dxa"/>
            <w:gridSpan w:val="2"/>
            <w:tcBorders>
              <w:top w:val="single" w:sz="6" w:space="0" w:color="auto"/>
              <w:left w:val="single" w:sz="6" w:space="0" w:color="auto"/>
              <w:bottom w:val="single" w:sz="6" w:space="0" w:color="auto"/>
              <w:right w:val="single" w:sz="6" w:space="0" w:color="auto"/>
            </w:tcBorders>
            <w:hideMark/>
          </w:tcPr>
          <w:p w14:paraId="25D13D5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Un plan de communication pour préciser les messages clés et la vision et pour assurer des progrès soutenus. </w:t>
            </w:r>
          </w:p>
          <w:p w14:paraId="672A380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Une collaboration qui appelle à la bienveillance et à la curiosité en favorisant des rapports positifs et une confiance accrue entre les partenaires, les conseils scolaires, les organismes communautaires, les spécialistes de la santé mentale, les familles, les jeunes et les enfants.</w:t>
            </w:r>
          </w:p>
          <w:p w14:paraId="59B411B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Un processus de planification et de prise de décisions collaboratif pour les services de santé mentale destinés aux enfants, aux jeunes et aux familles de toute la communauté. </w:t>
            </w:r>
          </w:p>
          <w:p w14:paraId="6C18D45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Le soutien des organismes intermédiaires afin de combler les écarts dans les politiques, les travaux de recherche et les pratiques de manière multidirectionnelle entre les communautés, les organismes intermédiaires et les partenaires de la province.   </w:t>
            </w:r>
          </w:p>
        </w:tc>
        <w:tc>
          <w:tcPr>
            <w:tcW w:w="2704" w:type="dxa"/>
            <w:gridSpan w:val="2"/>
            <w:tcBorders>
              <w:top w:val="single" w:sz="6" w:space="0" w:color="auto"/>
              <w:left w:val="single" w:sz="6" w:space="0" w:color="auto"/>
              <w:bottom w:val="single" w:sz="6" w:space="0" w:color="auto"/>
              <w:right w:val="single" w:sz="6" w:space="0" w:color="auto"/>
            </w:tcBorders>
            <w:hideMark/>
          </w:tcPr>
          <w:p w14:paraId="0F975AF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ce à quoi ressemblera cette composante dans la réalité.</w:t>
            </w:r>
          </w:p>
          <w:p w14:paraId="3C8A4AB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206222A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FD8536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903B3F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7E1BCAC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Les mesures en place :</w:t>
            </w:r>
          </w:p>
          <w:p w14:paraId="0B3FB33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25CA834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51ABC7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DBC14B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37480C2"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mesures à prendre :</w:t>
            </w:r>
          </w:p>
          <w:p w14:paraId="677C741B"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2C7F23A6"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24876A1A"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79FE3644"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2874D234"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stratégies possibles pour aborder ce travail :</w:t>
            </w:r>
          </w:p>
          <w:p w14:paraId="24B0E65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1815C1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AB6B8F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EE1E68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c>
          <w:tcPr>
            <w:tcW w:w="2786" w:type="dxa"/>
            <w:gridSpan w:val="2"/>
            <w:tcBorders>
              <w:top w:val="single" w:sz="6" w:space="0" w:color="auto"/>
              <w:left w:val="single" w:sz="6" w:space="0" w:color="auto"/>
              <w:bottom w:val="single" w:sz="6" w:space="0" w:color="auto"/>
              <w:right w:val="single" w:sz="6" w:space="0" w:color="auto"/>
            </w:tcBorders>
            <w:hideMark/>
          </w:tcPr>
          <w:p w14:paraId="1B56390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Dressez une liste des parties prenantes (personnes, partenaires) à la prestation de cette composante.</w:t>
            </w:r>
            <w:r w:rsidRPr="00A81429">
              <w:rPr>
                <w:rFonts w:ascii="Arial" w:eastAsia="Calibri" w:hAnsi="Arial" w:cs="Arial"/>
                <w:color w:val="000000"/>
                <w:kern w:val="0"/>
                <w:sz w:val="20"/>
                <w:szCs w:val="20"/>
                <w:lang w:val="fr-CA"/>
                <w14:ligatures w14:val="none"/>
              </w:rPr>
              <w:t> </w:t>
            </w:r>
          </w:p>
        </w:tc>
        <w:tc>
          <w:tcPr>
            <w:tcW w:w="2812" w:type="dxa"/>
            <w:gridSpan w:val="2"/>
            <w:tcBorders>
              <w:top w:val="single" w:sz="6" w:space="0" w:color="auto"/>
              <w:left w:val="single" w:sz="6" w:space="0" w:color="auto"/>
              <w:bottom w:val="single" w:sz="6" w:space="0" w:color="auto"/>
              <w:right w:val="single" w:sz="6" w:space="0" w:color="auto"/>
            </w:tcBorders>
            <w:hideMark/>
          </w:tcPr>
          <w:p w14:paraId="55D7069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de quelle façon vous mesurerez et évaluerez la réussite de cette composante.</w:t>
            </w:r>
            <w:r w:rsidRPr="00A81429">
              <w:rPr>
                <w:rFonts w:ascii="Arial" w:eastAsia="Calibri" w:hAnsi="Arial" w:cs="Arial"/>
                <w:color w:val="000000"/>
                <w:kern w:val="0"/>
                <w:sz w:val="20"/>
                <w:szCs w:val="20"/>
                <w:lang w:val="fr-CA"/>
                <w14:ligatures w14:val="none"/>
              </w:rPr>
              <w:t> </w:t>
            </w:r>
          </w:p>
        </w:tc>
      </w:tr>
      <w:tr w:rsidR="00A81429" w:rsidRPr="00A81429" w14:paraId="676178D0" w14:textId="77777777" w:rsidTr="00EA4D28">
        <w:trPr>
          <w:gridBefore w:val="1"/>
          <w:wBefore w:w="11" w:type="dxa"/>
          <w:trHeight w:val="292"/>
        </w:trPr>
        <w:tc>
          <w:tcPr>
            <w:tcW w:w="12263" w:type="dxa"/>
            <w:gridSpan w:val="8"/>
            <w:tcBorders>
              <w:top w:val="single" w:sz="6" w:space="0" w:color="auto"/>
              <w:left w:val="single" w:sz="6" w:space="0" w:color="auto"/>
              <w:bottom w:val="single" w:sz="6" w:space="0" w:color="auto"/>
              <w:right w:val="single" w:sz="6" w:space="0" w:color="auto"/>
            </w:tcBorders>
            <w:hideMark/>
          </w:tcPr>
          <w:p w14:paraId="6FC3D05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nos forces actuelles sur lesquelles nous pouvons miser?</w:t>
            </w:r>
          </w:p>
          <w:p w14:paraId="461D26A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r w:rsidR="00A81429" w:rsidRPr="00A81429" w14:paraId="196A179C" w14:textId="77777777" w:rsidTr="00EA4D28">
        <w:trPr>
          <w:gridBefore w:val="1"/>
          <w:wBefore w:w="11" w:type="dxa"/>
          <w:trHeight w:val="292"/>
        </w:trPr>
        <w:tc>
          <w:tcPr>
            <w:tcW w:w="12263" w:type="dxa"/>
            <w:gridSpan w:val="8"/>
            <w:tcBorders>
              <w:top w:val="single" w:sz="6" w:space="0" w:color="auto"/>
              <w:left w:val="single" w:sz="6" w:space="0" w:color="auto"/>
              <w:bottom w:val="single" w:sz="6" w:space="0" w:color="auto"/>
              <w:right w:val="single" w:sz="6" w:space="0" w:color="auto"/>
            </w:tcBorders>
            <w:hideMark/>
          </w:tcPr>
          <w:p w14:paraId="2164A5B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les lacunes dont nous devons avoir conscience et nous efforcer d’atténuer?</w:t>
            </w:r>
          </w:p>
          <w:p w14:paraId="2D365BB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bl>
    <w:p w14:paraId="16188D1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6EAA2B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br w:type="page"/>
      </w:r>
    </w:p>
    <w:p w14:paraId="327253F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4"/>
        <w:gridCol w:w="3225"/>
        <w:gridCol w:w="3225"/>
        <w:gridCol w:w="3270"/>
      </w:tblGrid>
      <w:tr w:rsidR="00A81429" w:rsidRPr="00A81429" w14:paraId="620FDA51" w14:textId="77777777" w:rsidTr="00EA4D28">
        <w:trPr>
          <w:trHeight w:val="300"/>
        </w:trPr>
        <w:tc>
          <w:tcPr>
            <w:tcW w:w="12945" w:type="dxa"/>
            <w:gridSpan w:val="4"/>
            <w:tcBorders>
              <w:top w:val="single" w:sz="6" w:space="0" w:color="auto"/>
              <w:left w:val="single" w:sz="6" w:space="0" w:color="auto"/>
              <w:bottom w:val="single" w:sz="6" w:space="0" w:color="auto"/>
              <w:right w:val="single" w:sz="6" w:space="0" w:color="auto"/>
            </w:tcBorders>
            <w:shd w:val="clear" w:color="auto" w:fill="C6D9F1"/>
            <w:hideMark/>
          </w:tcPr>
          <w:p w14:paraId="670C687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Protocoles pour l’élaboration et la mise en œuvre d’un système de voie d’accès aux soins</w:t>
            </w:r>
            <w:r w:rsidRPr="00A81429">
              <w:rPr>
                <w:rFonts w:ascii="Arial" w:eastAsia="Calibri" w:hAnsi="Arial" w:cs="Arial"/>
                <w:color w:val="000000"/>
                <w:kern w:val="0"/>
                <w:sz w:val="20"/>
                <w:szCs w:val="20"/>
                <w:lang w:val="fr-CA"/>
                <w14:ligatures w14:val="none"/>
              </w:rPr>
              <w:t> – Les voies d’accès établies et convenues entre les organismes et les services liés à la santé mentale et aux dépendances chez les enfants et les jeunes offerts dans la communauté, ainsi que les conseils scolaires et les services de santé mentale offerts en milieu scolaire sont indispensables à un système de soins bien coordonné. </w:t>
            </w:r>
          </w:p>
        </w:tc>
      </w:tr>
      <w:tr w:rsidR="00A81429" w:rsidRPr="00A81429" w14:paraId="1A9CA866" w14:textId="77777777" w:rsidTr="00A81429">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1F2A59"/>
            <w:hideMark/>
          </w:tcPr>
          <w:p w14:paraId="15374DC3" w14:textId="77777777" w:rsidR="00A81429" w:rsidRPr="00A81429" w:rsidRDefault="00A81429" w:rsidP="00A81429">
            <w:pPr>
              <w:spacing w:after="0" w:line="240" w:lineRule="auto"/>
              <w:rPr>
                <w:rFonts w:ascii="Arial" w:eastAsia="Calibri" w:hAnsi="Arial" w:cs="Arial"/>
                <w:color w:val="B8B8B8"/>
                <w:kern w:val="0"/>
                <w:sz w:val="20"/>
                <w:szCs w:val="20"/>
                <w:lang w:val="fr-CA"/>
                <w14:ligatures w14:val="none"/>
              </w:rPr>
            </w:pPr>
            <w:r w:rsidRPr="00A81429">
              <w:rPr>
                <w:rFonts w:ascii="Arial" w:eastAsia="Calibri" w:hAnsi="Arial" w:cs="Arial"/>
                <w:b/>
                <w:color w:val="B8B8B8"/>
                <w:kern w:val="0"/>
                <w:sz w:val="20"/>
                <w:szCs w:val="20"/>
                <w:lang w:val="fr-CA"/>
                <w14:ligatures w14:val="none"/>
              </w:rPr>
              <w:t>Composante de base</w:t>
            </w:r>
            <w:r w:rsidRPr="00A81429">
              <w:rPr>
                <w:rFonts w:ascii="Arial" w:eastAsia="Calibri" w:hAnsi="Arial" w:cs="Arial"/>
                <w:color w:val="B8B8B8"/>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1F2A59"/>
            <w:hideMark/>
          </w:tcPr>
          <w:p w14:paraId="05AF00BE"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Comment sera-t-elle concrétisée?</w:t>
            </w:r>
            <w:r w:rsidRPr="00A81429">
              <w:rPr>
                <w:rFonts w:ascii="Arial" w:eastAsia="Calibri" w:hAnsi="Arial" w:cs="Arial"/>
                <w:color w:val="EAEAEA"/>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1F2A59"/>
            <w:hideMark/>
          </w:tcPr>
          <w:p w14:paraId="25BC36C4"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Qui seront les parties prenantes?</w:t>
            </w:r>
            <w:r w:rsidRPr="00A81429">
              <w:rPr>
                <w:rFonts w:ascii="Arial" w:eastAsia="Calibri" w:hAnsi="Arial" w:cs="Arial"/>
                <w:color w:val="EAEAEA"/>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shd w:val="clear" w:color="auto" w:fill="1F2A59"/>
            <w:hideMark/>
          </w:tcPr>
          <w:p w14:paraId="408DCA74"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Quels seront les indicateurs de réussite?</w:t>
            </w:r>
            <w:r w:rsidRPr="00A81429">
              <w:rPr>
                <w:rFonts w:ascii="Arial" w:eastAsia="Calibri" w:hAnsi="Arial" w:cs="Arial"/>
                <w:color w:val="EAEAEA"/>
                <w:kern w:val="0"/>
                <w:sz w:val="20"/>
                <w:szCs w:val="20"/>
                <w:lang w:val="fr-CA"/>
                <w14:ligatures w14:val="none"/>
              </w:rPr>
              <w:t> </w:t>
            </w:r>
          </w:p>
        </w:tc>
      </w:tr>
      <w:tr w:rsidR="00A81429" w:rsidRPr="00A81429" w14:paraId="2B4904E0" w14:textId="77777777" w:rsidTr="00EA4D28">
        <w:trPr>
          <w:trHeight w:val="300"/>
        </w:trPr>
        <w:tc>
          <w:tcPr>
            <w:tcW w:w="3225" w:type="dxa"/>
            <w:tcBorders>
              <w:top w:val="single" w:sz="6" w:space="0" w:color="auto"/>
              <w:left w:val="single" w:sz="6" w:space="0" w:color="auto"/>
              <w:bottom w:val="single" w:sz="6" w:space="0" w:color="auto"/>
              <w:right w:val="single" w:sz="6" w:space="0" w:color="auto"/>
            </w:tcBorders>
            <w:hideMark/>
          </w:tcPr>
          <w:p w14:paraId="06F505E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Le continuum de services convenu et la principale responsabilité d’offrir une gamme de services dans le cadre de ce continuum. </w:t>
            </w:r>
          </w:p>
          <w:p w14:paraId="00EF64C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Des documents officiels, tels que des protocoles, des protocoles d’entente et des ententes de partenariat, pour définir les rôles et les responsabilités dans tous les secteurs. </w:t>
            </w:r>
          </w:p>
          <w:p w14:paraId="7AF8F5A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Des protocoles conjoints pour soutenir les voies d’accès aux services de santé mentale pour les enfants, les jeunes et les familles, en vue d’un processus de réponse simplifié. </w:t>
            </w:r>
          </w:p>
          <w:p w14:paraId="3BF635E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Des protocoles axés sur l’équité, qui tiennent compte des traumatismes et favorisent l’affirmation de l’identité, en plus de soutenir les services qui répondent aux besoins et visent à améliorer l’expérience en matière de santé mentale de chaque enfant, de chaque jeune ou de chaque famille.  </w:t>
            </w:r>
          </w:p>
        </w:tc>
        <w:tc>
          <w:tcPr>
            <w:tcW w:w="3225" w:type="dxa"/>
            <w:tcBorders>
              <w:top w:val="single" w:sz="6" w:space="0" w:color="auto"/>
              <w:left w:val="single" w:sz="6" w:space="0" w:color="auto"/>
              <w:bottom w:val="single" w:sz="6" w:space="0" w:color="auto"/>
              <w:right w:val="single" w:sz="6" w:space="0" w:color="auto"/>
            </w:tcBorders>
            <w:hideMark/>
          </w:tcPr>
          <w:p w14:paraId="6F7EE9E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ce à quoi ressemblera cette composante dans la réalité.</w:t>
            </w:r>
          </w:p>
          <w:p w14:paraId="72E0674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25E82F9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777AC3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2516C8C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7621F58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Les mesures en place :</w:t>
            </w:r>
          </w:p>
          <w:p w14:paraId="0FD5177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7CF1AE0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EAF450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04F7CD6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19084B2"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mesures à prendre :</w:t>
            </w:r>
          </w:p>
          <w:p w14:paraId="103F800D"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6F202EF6"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40B69511"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37819733"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01925A32"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stratégies possibles pour aborder ce travail :</w:t>
            </w:r>
          </w:p>
          <w:p w14:paraId="669ADB6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DDFAA7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89BE82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02523B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BD7E24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hideMark/>
          </w:tcPr>
          <w:p w14:paraId="5410532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Dressez une liste des parties prenantes (personnes, partenaires) à la prestation de cette composante.</w:t>
            </w:r>
            <w:r w:rsidRPr="00A81429">
              <w:rPr>
                <w:rFonts w:ascii="Arial" w:eastAsia="Calibri" w:hAnsi="Arial" w:cs="Arial"/>
                <w:color w:val="000000"/>
                <w:kern w:val="0"/>
                <w:sz w:val="20"/>
                <w:szCs w:val="20"/>
                <w:lang w:val="fr-CA"/>
                <w14:ligatures w14:val="none"/>
              </w:rPr>
              <w:t> </w:t>
            </w:r>
          </w:p>
        </w:tc>
        <w:tc>
          <w:tcPr>
            <w:tcW w:w="3225" w:type="dxa"/>
            <w:tcBorders>
              <w:top w:val="single" w:sz="6" w:space="0" w:color="auto"/>
              <w:left w:val="single" w:sz="6" w:space="0" w:color="auto"/>
              <w:bottom w:val="single" w:sz="6" w:space="0" w:color="auto"/>
              <w:right w:val="single" w:sz="6" w:space="0" w:color="auto"/>
            </w:tcBorders>
            <w:hideMark/>
          </w:tcPr>
          <w:p w14:paraId="1152A9C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de quelle façon vous mesurerez et évaluerez la réussite de cette composante.</w:t>
            </w:r>
            <w:r w:rsidRPr="00A81429">
              <w:rPr>
                <w:rFonts w:ascii="Arial" w:eastAsia="Calibri" w:hAnsi="Arial" w:cs="Arial"/>
                <w:color w:val="000000"/>
                <w:kern w:val="0"/>
                <w:sz w:val="20"/>
                <w:szCs w:val="20"/>
                <w:lang w:val="fr-CA"/>
                <w14:ligatures w14:val="none"/>
              </w:rPr>
              <w:t> </w:t>
            </w:r>
          </w:p>
        </w:tc>
      </w:tr>
      <w:tr w:rsidR="00A81429" w:rsidRPr="00A81429" w14:paraId="1BB544DE" w14:textId="77777777" w:rsidTr="00EA4D28">
        <w:trPr>
          <w:trHeight w:val="300"/>
        </w:trPr>
        <w:tc>
          <w:tcPr>
            <w:tcW w:w="12945" w:type="dxa"/>
            <w:gridSpan w:val="4"/>
            <w:tcBorders>
              <w:top w:val="single" w:sz="6" w:space="0" w:color="auto"/>
              <w:left w:val="single" w:sz="6" w:space="0" w:color="auto"/>
              <w:bottom w:val="single" w:sz="6" w:space="0" w:color="auto"/>
              <w:right w:val="single" w:sz="6" w:space="0" w:color="auto"/>
            </w:tcBorders>
            <w:hideMark/>
          </w:tcPr>
          <w:p w14:paraId="2B4CD25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nos forces actuelles sur lesquelles nous pouvons miser?</w:t>
            </w:r>
          </w:p>
          <w:p w14:paraId="3D2DA8E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r w:rsidR="00A81429" w:rsidRPr="00A81429" w14:paraId="71200B03" w14:textId="77777777" w:rsidTr="00EA4D28">
        <w:trPr>
          <w:trHeight w:val="300"/>
        </w:trPr>
        <w:tc>
          <w:tcPr>
            <w:tcW w:w="12945" w:type="dxa"/>
            <w:gridSpan w:val="4"/>
            <w:tcBorders>
              <w:top w:val="single" w:sz="6" w:space="0" w:color="auto"/>
              <w:left w:val="single" w:sz="6" w:space="0" w:color="auto"/>
              <w:bottom w:val="single" w:sz="6" w:space="0" w:color="auto"/>
              <w:right w:val="single" w:sz="6" w:space="0" w:color="auto"/>
            </w:tcBorders>
            <w:hideMark/>
          </w:tcPr>
          <w:p w14:paraId="141FACC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les lacunes dont nous devons avoir conscience et de quelle façon pouvons-nous les atténuer?</w:t>
            </w:r>
          </w:p>
          <w:p w14:paraId="1E34F82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bl>
    <w:p w14:paraId="75536A0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1C18473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br w:type="page"/>
      </w:r>
    </w:p>
    <w:p w14:paraId="6A7108B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gridCol w:w="3195"/>
      </w:tblGrid>
      <w:tr w:rsidR="00A81429" w:rsidRPr="00A81429" w14:paraId="0BC6FA70" w14:textId="77777777" w:rsidTr="00EA4D28">
        <w:trPr>
          <w:trHeight w:val="675"/>
        </w:trPr>
        <w:tc>
          <w:tcPr>
            <w:tcW w:w="12780" w:type="dxa"/>
            <w:gridSpan w:val="4"/>
            <w:tcBorders>
              <w:top w:val="single" w:sz="6" w:space="0" w:color="auto"/>
              <w:left w:val="single" w:sz="6" w:space="0" w:color="auto"/>
              <w:bottom w:val="single" w:sz="6" w:space="0" w:color="auto"/>
              <w:right w:val="single" w:sz="6" w:space="0" w:color="auto"/>
            </w:tcBorders>
            <w:shd w:val="clear" w:color="auto" w:fill="C6D9F1"/>
            <w:hideMark/>
          </w:tcPr>
          <w:p w14:paraId="0D68E28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Formation et encadrement uniformes et systématiques</w:t>
            </w:r>
            <w:r w:rsidRPr="00A81429">
              <w:rPr>
                <w:rFonts w:ascii="Arial" w:eastAsia="Calibri" w:hAnsi="Arial" w:cs="Arial"/>
                <w:color w:val="000000"/>
                <w:kern w:val="0"/>
                <w:sz w:val="20"/>
                <w:szCs w:val="20"/>
                <w:lang w:val="fr-CA"/>
                <w14:ligatures w14:val="none"/>
              </w:rPr>
              <w:t> – La meilleure façon de développer un savoir-faire et de soutenir un éventail d’interventions qui répondent à l’ensemble des besoins consiste à planifier la formation dans l’intégralité du système. </w:t>
            </w:r>
          </w:p>
        </w:tc>
      </w:tr>
      <w:tr w:rsidR="00A81429" w:rsidRPr="00A81429" w14:paraId="4176AB7C" w14:textId="77777777" w:rsidTr="00A81429">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1F2A59"/>
            <w:hideMark/>
          </w:tcPr>
          <w:p w14:paraId="6B82404D" w14:textId="77777777" w:rsidR="00A81429" w:rsidRPr="00A81429" w:rsidRDefault="00A81429" w:rsidP="00A81429">
            <w:pPr>
              <w:spacing w:after="0" w:line="240" w:lineRule="auto"/>
              <w:rPr>
                <w:rFonts w:ascii="Arial" w:eastAsia="Calibri" w:hAnsi="Arial" w:cs="Arial"/>
                <w:color w:val="B8B8B8"/>
                <w:kern w:val="0"/>
                <w:sz w:val="20"/>
                <w:szCs w:val="20"/>
                <w:lang w:val="fr-CA"/>
                <w14:ligatures w14:val="none"/>
              </w:rPr>
            </w:pPr>
            <w:r w:rsidRPr="00A81429">
              <w:rPr>
                <w:rFonts w:ascii="Arial" w:eastAsia="Calibri" w:hAnsi="Arial" w:cs="Arial"/>
                <w:b/>
                <w:color w:val="B8B8B8"/>
                <w:kern w:val="0"/>
                <w:sz w:val="20"/>
                <w:szCs w:val="20"/>
                <w:lang w:val="fr-CA"/>
                <w14:ligatures w14:val="none"/>
              </w:rPr>
              <w:t>Composante de base</w:t>
            </w:r>
            <w:r w:rsidRPr="00A81429">
              <w:rPr>
                <w:rFonts w:ascii="Arial" w:eastAsia="Calibri" w:hAnsi="Arial" w:cs="Arial"/>
                <w:color w:val="B8B8B8"/>
                <w:kern w:val="0"/>
                <w:sz w:val="20"/>
                <w:szCs w:val="20"/>
                <w:lang w:val="fr-CA"/>
                <w14:ligatures w14:val="none"/>
              </w:rPr>
              <w:t> </w:t>
            </w:r>
          </w:p>
        </w:tc>
        <w:tc>
          <w:tcPr>
            <w:tcW w:w="3195" w:type="dxa"/>
            <w:tcBorders>
              <w:top w:val="single" w:sz="6" w:space="0" w:color="auto"/>
              <w:left w:val="single" w:sz="6" w:space="0" w:color="auto"/>
              <w:bottom w:val="single" w:sz="6" w:space="0" w:color="auto"/>
              <w:right w:val="single" w:sz="6" w:space="0" w:color="auto"/>
            </w:tcBorders>
            <w:shd w:val="clear" w:color="auto" w:fill="1F2A59"/>
            <w:hideMark/>
          </w:tcPr>
          <w:p w14:paraId="7EE9AADA"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Comment sera-t-elle concrétisée?</w:t>
            </w:r>
            <w:r w:rsidRPr="00A81429">
              <w:rPr>
                <w:rFonts w:ascii="Arial" w:eastAsia="Calibri" w:hAnsi="Arial" w:cs="Arial"/>
                <w:color w:val="EAEAEA"/>
                <w:kern w:val="0"/>
                <w:sz w:val="20"/>
                <w:szCs w:val="20"/>
                <w:lang w:val="fr-CA"/>
                <w14:ligatures w14:val="none"/>
              </w:rPr>
              <w:t> </w:t>
            </w:r>
          </w:p>
        </w:tc>
        <w:tc>
          <w:tcPr>
            <w:tcW w:w="3195" w:type="dxa"/>
            <w:tcBorders>
              <w:top w:val="single" w:sz="6" w:space="0" w:color="auto"/>
              <w:left w:val="single" w:sz="6" w:space="0" w:color="auto"/>
              <w:bottom w:val="single" w:sz="6" w:space="0" w:color="auto"/>
              <w:right w:val="single" w:sz="6" w:space="0" w:color="auto"/>
            </w:tcBorders>
            <w:shd w:val="clear" w:color="auto" w:fill="1F2A59"/>
            <w:hideMark/>
          </w:tcPr>
          <w:p w14:paraId="654C6827"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Qui seront les parties prenantes?</w:t>
            </w:r>
            <w:r w:rsidRPr="00A81429">
              <w:rPr>
                <w:rFonts w:ascii="Arial" w:eastAsia="Calibri" w:hAnsi="Arial" w:cs="Arial"/>
                <w:color w:val="EAEAEA"/>
                <w:kern w:val="0"/>
                <w:sz w:val="20"/>
                <w:szCs w:val="20"/>
                <w:lang w:val="fr-CA"/>
                <w14:ligatures w14:val="none"/>
              </w:rPr>
              <w:t> </w:t>
            </w:r>
          </w:p>
        </w:tc>
        <w:tc>
          <w:tcPr>
            <w:tcW w:w="3195" w:type="dxa"/>
            <w:tcBorders>
              <w:top w:val="single" w:sz="6" w:space="0" w:color="auto"/>
              <w:left w:val="single" w:sz="6" w:space="0" w:color="auto"/>
              <w:bottom w:val="single" w:sz="6" w:space="0" w:color="auto"/>
              <w:right w:val="single" w:sz="6" w:space="0" w:color="auto"/>
            </w:tcBorders>
            <w:shd w:val="clear" w:color="auto" w:fill="1F2A59"/>
            <w:hideMark/>
          </w:tcPr>
          <w:p w14:paraId="3F447CDB"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Quels seront les indicateurs de réussite?</w:t>
            </w:r>
            <w:r w:rsidRPr="00A81429">
              <w:rPr>
                <w:rFonts w:ascii="Arial" w:eastAsia="Calibri" w:hAnsi="Arial" w:cs="Arial"/>
                <w:color w:val="EAEAEA"/>
                <w:kern w:val="0"/>
                <w:sz w:val="20"/>
                <w:szCs w:val="20"/>
                <w:lang w:val="fr-CA"/>
                <w14:ligatures w14:val="none"/>
              </w:rPr>
              <w:t> </w:t>
            </w:r>
          </w:p>
        </w:tc>
      </w:tr>
      <w:tr w:rsidR="00A81429" w:rsidRPr="00A81429" w14:paraId="12EAC88F" w14:textId="77777777" w:rsidTr="00EA4D28">
        <w:trPr>
          <w:trHeight w:val="5939"/>
        </w:trPr>
        <w:tc>
          <w:tcPr>
            <w:tcW w:w="3195" w:type="dxa"/>
            <w:tcBorders>
              <w:top w:val="single" w:sz="6" w:space="0" w:color="auto"/>
              <w:left w:val="single" w:sz="6" w:space="0" w:color="auto"/>
              <w:bottom w:val="single" w:sz="6" w:space="0" w:color="auto"/>
              <w:right w:val="single" w:sz="6" w:space="0" w:color="auto"/>
            </w:tcBorders>
            <w:hideMark/>
          </w:tcPr>
          <w:p w14:paraId="009D8A4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La planification collaborative de la formation afin de soutenir la prestation des services qui répondent aux besoins et abordent les priorités de la communauté et d’assurer un continuum de services coordonné.  </w:t>
            </w:r>
          </w:p>
          <w:p w14:paraId="36CF155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xml:space="preserve">Des investissements dans la formation, la supervision et l’encadrement continus des </w:t>
            </w:r>
            <w:proofErr w:type="spellStart"/>
            <w:r w:rsidRPr="00A81429">
              <w:rPr>
                <w:rFonts w:ascii="Arial" w:eastAsia="Calibri" w:hAnsi="Arial" w:cs="Arial"/>
                <w:color w:val="000000"/>
                <w:kern w:val="0"/>
                <w:sz w:val="20"/>
                <w:szCs w:val="20"/>
                <w:lang w:val="fr-CA"/>
                <w14:ligatures w14:val="none"/>
              </w:rPr>
              <w:t>professionnel.</w:t>
            </w:r>
            <w:proofErr w:type="gramStart"/>
            <w:r w:rsidRPr="00A81429">
              <w:rPr>
                <w:rFonts w:ascii="Arial" w:eastAsia="Calibri" w:hAnsi="Arial" w:cs="Arial"/>
                <w:color w:val="000000"/>
                <w:kern w:val="0"/>
                <w:sz w:val="20"/>
                <w:szCs w:val="20"/>
                <w:lang w:val="fr-CA"/>
                <w14:ligatures w14:val="none"/>
              </w:rPr>
              <w:t>le.s</w:t>
            </w:r>
            <w:proofErr w:type="spellEnd"/>
            <w:proofErr w:type="gramEnd"/>
            <w:r w:rsidRPr="00A81429">
              <w:rPr>
                <w:rFonts w:ascii="Arial" w:eastAsia="Calibri" w:hAnsi="Arial" w:cs="Arial"/>
                <w:color w:val="000000"/>
                <w:kern w:val="0"/>
                <w:sz w:val="20"/>
                <w:szCs w:val="20"/>
                <w:lang w:val="fr-CA"/>
                <w14:ligatures w14:val="none"/>
              </w:rPr>
              <w:t xml:space="preserve"> en santé mentale et des équipes de soins qui exercent dans les écoles et les organismes communautaires. </w:t>
            </w:r>
          </w:p>
          <w:p w14:paraId="4172B05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Une formation fondée sur des données probantes qui appuient les communautés en quête d’équité qui luttent contre l’oppression et les préjugés du corps médical. </w:t>
            </w:r>
          </w:p>
        </w:tc>
        <w:tc>
          <w:tcPr>
            <w:tcW w:w="3195" w:type="dxa"/>
            <w:tcBorders>
              <w:top w:val="single" w:sz="6" w:space="0" w:color="auto"/>
              <w:left w:val="single" w:sz="6" w:space="0" w:color="auto"/>
              <w:bottom w:val="single" w:sz="6" w:space="0" w:color="auto"/>
              <w:right w:val="single" w:sz="6" w:space="0" w:color="auto"/>
            </w:tcBorders>
            <w:hideMark/>
          </w:tcPr>
          <w:p w14:paraId="67E45AC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ce à quoi ressemblera cette composante dans la réalité.</w:t>
            </w:r>
          </w:p>
          <w:p w14:paraId="3E7AE48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0B9DC1E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E253B0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556292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5766E9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B7CE55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Les mesures en place :</w:t>
            </w:r>
          </w:p>
          <w:p w14:paraId="31769EE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2EBA162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3F085AC"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2D44F77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49D68438"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mesures à prendre :</w:t>
            </w:r>
          </w:p>
          <w:p w14:paraId="459B3913"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6EE97AD8"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0E1AB4B8"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3193C140"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0C6975E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stratégies possibles pour aborder ce travail :</w:t>
            </w:r>
            <w:r w:rsidRPr="00A81429">
              <w:rPr>
                <w:rFonts w:ascii="Arial" w:eastAsia="Calibri" w:hAnsi="Arial" w:cs="Arial"/>
                <w:color w:val="ED0000"/>
                <w:kern w:val="0"/>
                <w:sz w:val="20"/>
                <w:szCs w:val="20"/>
                <w:lang w:val="fr-CA"/>
                <w14:ligatures w14:val="none"/>
              </w:rPr>
              <w:t> </w:t>
            </w:r>
          </w:p>
        </w:tc>
        <w:tc>
          <w:tcPr>
            <w:tcW w:w="3195" w:type="dxa"/>
            <w:tcBorders>
              <w:top w:val="single" w:sz="6" w:space="0" w:color="auto"/>
              <w:left w:val="single" w:sz="6" w:space="0" w:color="auto"/>
              <w:bottom w:val="single" w:sz="6" w:space="0" w:color="auto"/>
              <w:right w:val="single" w:sz="6" w:space="0" w:color="auto"/>
            </w:tcBorders>
            <w:hideMark/>
          </w:tcPr>
          <w:p w14:paraId="44DC63C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Dressez une liste des parties prenantes (personnes, partenaires) à la prestation de cette composante.</w:t>
            </w:r>
            <w:r w:rsidRPr="00A81429">
              <w:rPr>
                <w:rFonts w:ascii="Arial" w:eastAsia="Calibri" w:hAnsi="Arial" w:cs="Arial"/>
                <w:color w:val="000000"/>
                <w:kern w:val="0"/>
                <w:sz w:val="20"/>
                <w:szCs w:val="20"/>
                <w:lang w:val="fr-CA"/>
                <w14:ligatures w14:val="none"/>
              </w:rPr>
              <w:t> </w:t>
            </w:r>
          </w:p>
        </w:tc>
        <w:tc>
          <w:tcPr>
            <w:tcW w:w="3195" w:type="dxa"/>
            <w:tcBorders>
              <w:top w:val="single" w:sz="6" w:space="0" w:color="auto"/>
              <w:left w:val="single" w:sz="6" w:space="0" w:color="auto"/>
              <w:bottom w:val="single" w:sz="6" w:space="0" w:color="auto"/>
              <w:right w:val="single" w:sz="6" w:space="0" w:color="auto"/>
            </w:tcBorders>
            <w:hideMark/>
          </w:tcPr>
          <w:p w14:paraId="55ED7D3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de quelle façon vous mesurerez et évaluerez la réussite de cette composante.</w:t>
            </w:r>
            <w:r w:rsidRPr="00A81429">
              <w:rPr>
                <w:rFonts w:ascii="Arial" w:eastAsia="Calibri" w:hAnsi="Arial" w:cs="Arial"/>
                <w:color w:val="000000"/>
                <w:kern w:val="0"/>
                <w:sz w:val="20"/>
                <w:szCs w:val="20"/>
                <w:lang w:val="fr-CA"/>
                <w14:ligatures w14:val="none"/>
              </w:rPr>
              <w:t> </w:t>
            </w:r>
          </w:p>
        </w:tc>
      </w:tr>
      <w:tr w:rsidR="00A81429" w:rsidRPr="00A81429" w14:paraId="0059269B" w14:textId="77777777" w:rsidTr="00EA4D28">
        <w:trPr>
          <w:trHeight w:val="585"/>
        </w:trPr>
        <w:tc>
          <w:tcPr>
            <w:tcW w:w="12780" w:type="dxa"/>
            <w:gridSpan w:val="4"/>
            <w:tcBorders>
              <w:top w:val="single" w:sz="6" w:space="0" w:color="auto"/>
              <w:left w:val="single" w:sz="6" w:space="0" w:color="auto"/>
              <w:bottom w:val="single" w:sz="6" w:space="0" w:color="auto"/>
              <w:right w:val="single" w:sz="6" w:space="0" w:color="auto"/>
            </w:tcBorders>
            <w:hideMark/>
          </w:tcPr>
          <w:p w14:paraId="541CD44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nos forces actuelles sur lesquelles nous pouvons miser?</w:t>
            </w:r>
          </w:p>
          <w:p w14:paraId="7108F98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r w:rsidR="00A81429" w:rsidRPr="00A81429" w14:paraId="537D4284" w14:textId="77777777" w:rsidTr="00EA4D28">
        <w:trPr>
          <w:trHeight w:val="585"/>
        </w:trPr>
        <w:tc>
          <w:tcPr>
            <w:tcW w:w="12780" w:type="dxa"/>
            <w:gridSpan w:val="4"/>
            <w:tcBorders>
              <w:top w:val="single" w:sz="6" w:space="0" w:color="auto"/>
              <w:left w:val="single" w:sz="6" w:space="0" w:color="auto"/>
              <w:bottom w:val="single" w:sz="6" w:space="0" w:color="auto"/>
              <w:right w:val="single" w:sz="6" w:space="0" w:color="auto"/>
            </w:tcBorders>
            <w:hideMark/>
          </w:tcPr>
          <w:p w14:paraId="772AC04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les lacunes dont nous devons avoir conscience et de quelle façon pouvons-nous les atténuer?</w:t>
            </w:r>
          </w:p>
          <w:p w14:paraId="3E1F57E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bl>
    <w:p w14:paraId="076DA1D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13E761F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br w:type="page"/>
      </w:r>
    </w:p>
    <w:p w14:paraId="2EA53F68"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gridCol w:w="3270"/>
      </w:tblGrid>
      <w:tr w:rsidR="00A81429" w:rsidRPr="00A81429" w14:paraId="4A435151" w14:textId="77777777" w:rsidTr="00EA4D28">
        <w:trPr>
          <w:trHeight w:val="300"/>
        </w:trPr>
        <w:tc>
          <w:tcPr>
            <w:tcW w:w="12945" w:type="dxa"/>
            <w:gridSpan w:val="4"/>
            <w:tcBorders>
              <w:top w:val="single" w:sz="2" w:space="0" w:color="auto"/>
              <w:left w:val="single" w:sz="2" w:space="0" w:color="auto"/>
              <w:bottom w:val="single" w:sz="2" w:space="0" w:color="auto"/>
              <w:right w:val="single" w:sz="2" w:space="0" w:color="auto"/>
            </w:tcBorders>
            <w:shd w:val="clear" w:color="auto" w:fill="C6D9F1"/>
            <w:hideMark/>
          </w:tcPr>
          <w:p w14:paraId="147E3EF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Système de collecte de données et plan d’évaluation</w:t>
            </w:r>
            <w:r w:rsidRPr="00A81429">
              <w:rPr>
                <w:rFonts w:ascii="Arial" w:eastAsia="Calibri" w:hAnsi="Arial" w:cs="Arial"/>
                <w:color w:val="000000"/>
                <w:kern w:val="0"/>
                <w:sz w:val="20"/>
                <w:szCs w:val="20"/>
                <w:lang w:val="fr-CA"/>
                <w14:ligatures w14:val="none"/>
              </w:rPr>
              <w:t xml:space="preserve"> – Pour veiller à ce que les processus et les systèmes de </w:t>
            </w:r>
            <w:proofErr w:type="spellStart"/>
            <w:r w:rsidRPr="00A81429">
              <w:rPr>
                <w:rFonts w:ascii="Arial" w:eastAsia="Calibri" w:hAnsi="Arial" w:cs="Arial"/>
                <w:color w:val="000000"/>
                <w:kern w:val="0"/>
                <w:sz w:val="20"/>
                <w:szCs w:val="20"/>
                <w:lang w:val="fr-CA"/>
                <w14:ligatures w14:val="none"/>
              </w:rPr>
              <w:t>BSBM</w:t>
            </w:r>
            <w:proofErr w:type="spellEnd"/>
            <w:r w:rsidRPr="00A81429">
              <w:rPr>
                <w:rFonts w:ascii="Arial" w:eastAsia="Calibri" w:hAnsi="Arial" w:cs="Arial"/>
                <w:color w:val="000000"/>
                <w:kern w:val="0"/>
                <w:sz w:val="20"/>
                <w:szCs w:val="20"/>
                <w:lang w:val="fr-CA"/>
                <w14:ligatures w14:val="none"/>
              </w:rPr>
              <w:t xml:space="preserve"> s’adaptent en fonction des renseignements recueillis, un suivi continu et un processus d’évaluation seront mis en place. </w:t>
            </w:r>
          </w:p>
        </w:tc>
      </w:tr>
      <w:tr w:rsidR="00A81429" w:rsidRPr="00A81429" w14:paraId="78A8A14D" w14:textId="77777777" w:rsidTr="00A81429">
        <w:trPr>
          <w:trHeight w:val="300"/>
        </w:trPr>
        <w:tc>
          <w:tcPr>
            <w:tcW w:w="3225" w:type="dxa"/>
            <w:tcBorders>
              <w:top w:val="single" w:sz="2" w:space="0" w:color="auto"/>
              <w:left w:val="single" w:sz="2" w:space="0" w:color="auto"/>
              <w:bottom w:val="single" w:sz="2" w:space="0" w:color="auto"/>
              <w:right w:val="single" w:sz="2" w:space="0" w:color="auto"/>
            </w:tcBorders>
            <w:shd w:val="clear" w:color="auto" w:fill="1F2A59"/>
            <w:hideMark/>
          </w:tcPr>
          <w:p w14:paraId="13936F5D" w14:textId="77777777" w:rsidR="00A81429" w:rsidRPr="00A81429" w:rsidRDefault="00A81429" w:rsidP="00A81429">
            <w:pPr>
              <w:spacing w:after="0" w:line="240" w:lineRule="auto"/>
              <w:rPr>
                <w:rFonts w:ascii="Arial" w:eastAsia="Calibri" w:hAnsi="Arial" w:cs="Arial"/>
                <w:color w:val="B8B8B8"/>
                <w:kern w:val="0"/>
                <w:sz w:val="20"/>
                <w:szCs w:val="20"/>
                <w:lang w:val="fr-CA"/>
                <w14:ligatures w14:val="none"/>
              </w:rPr>
            </w:pPr>
            <w:r w:rsidRPr="00A81429">
              <w:rPr>
                <w:rFonts w:ascii="Arial" w:eastAsia="Calibri" w:hAnsi="Arial" w:cs="Arial"/>
                <w:b/>
                <w:color w:val="B8B8B8"/>
                <w:kern w:val="0"/>
                <w:sz w:val="20"/>
                <w:szCs w:val="20"/>
                <w:lang w:val="fr-CA"/>
                <w14:ligatures w14:val="none"/>
              </w:rPr>
              <w:t>Composante de base</w:t>
            </w:r>
            <w:r w:rsidRPr="00A81429">
              <w:rPr>
                <w:rFonts w:ascii="Arial" w:eastAsia="Calibri" w:hAnsi="Arial" w:cs="Arial"/>
                <w:color w:val="B8B8B8"/>
                <w:kern w:val="0"/>
                <w:sz w:val="20"/>
                <w:szCs w:val="20"/>
                <w:lang w:val="fr-CA"/>
                <w14:ligatures w14:val="none"/>
              </w:rPr>
              <w:t> </w:t>
            </w:r>
          </w:p>
        </w:tc>
        <w:tc>
          <w:tcPr>
            <w:tcW w:w="3225" w:type="dxa"/>
            <w:tcBorders>
              <w:top w:val="single" w:sz="2" w:space="0" w:color="auto"/>
              <w:left w:val="single" w:sz="2" w:space="0" w:color="auto"/>
              <w:bottom w:val="single" w:sz="2" w:space="0" w:color="auto"/>
              <w:right w:val="single" w:sz="2" w:space="0" w:color="auto"/>
            </w:tcBorders>
            <w:shd w:val="clear" w:color="auto" w:fill="1F2A59"/>
            <w:hideMark/>
          </w:tcPr>
          <w:p w14:paraId="1A23FB95"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Comment sera-t-elle concrétisée?</w:t>
            </w:r>
            <w:r w:rsidRPr="00A81429">
              <w:rPr>
                <w:rFonts w:ascii="Arial" w:eastAsia="Calibri" w:hAnsi="Arial" w:cs="Arial"/>
                <w:color w:val="EAEAEA"/>
                <w:kern w:val="0"/>
                <w:sz w:val="20"/>
                <w:szCs w:val="20"/>
                <w:lang w:val="fr-CA"/>
                <w14:ligatures w14:val="none"/>
              </w:rPr>
              <w:t> </w:t>
            </w:r>
          </w:p>
        </w:tc>
        <w:tc>
          <w:tcPr>
            <w:tcW w:w="3225" w:type="dxa"/>
            <w:tcBorders>
              <w:top w:val="single" w:sz="2" w:space="0" w:color="auto"/>
              <w:left w:val="single" w:sz="2" w:space="0" w:color="auto"/>
              <w:bottom w:val="single" w:sz="2" w:space="0" w:color="auto"/>
              <w:right w:val="single" w:sz="2" w:space="0" w:color="auto"/>
            </w:tcBorders>
            <w:shd w:val="clear" w:color="auto" w:fill="1F2A59"/>
            <w:hideMark/>
          </w:tcPr>
          <w:p w14:paraId="717750D4"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Qui seront les parties prenantes?</w:t>
            </w:r>
            <w:r w:rsidRPr="00A81429">
              <w:rPr>
                <w:rFonts w:ascii="Arial" w:eastAsia="Calibri" w:hAnsi="Arial" w:cs="Arial"/>
                <w:color w:val="EAEAEA"/>
                <w:kern w:val="0"/>
                <w:sz w:val="20"/>
                <w:szCs w:val="20"/>
                <w:lang w:val="fr-CA"/>
                <w14:ligatures w14:val="none"/>
              </w:rPr>
              <w:t> </w:t>
            </w:r>
          </w:p>
        </w:tc>
        <w:tc>
          <w:tcPr>
            <w:tcW w:w="3225" w:type="dxa"/>
            <w:tcBorders>
              <w:top w:val="single" w:sz="2" w:space="0" w:color="auto"/>
              <w:left w:val="single" w:sz="2" w:space="0" w:color="auto"/>
              <w:bottom w:val="single" w:sz="2" w:space="0" w:color="auto"/>
              <w:right w:val="single" w:sz="2" w:space="0" w:color="auto"/>
            </w:tcBorders>
            <w:shd w:val="clear" w:color="auto" w:fill="1F2A59"/>
            <w:hideMark/>
          </w:tcPr>
          <w:p w14:paraId="0964BCB8" w14:textId="77777777" w:rsidR="00A81429" w:rsidRPr="00A81429" w:rsidRDefault="00A81429" w:rsidP="00A81429">
            <w:pPr>
              <w:spacing w:after="0" w:line="240" w:lineRule="auto"/>
              <w:rPr>
                <w:rFonts w:ascii="Arial" w:eastAsia="Calibri" w:hAnsi="Arial" w:cs="Arial"/>
                <w:color w:val="EAEAEA"/>
                <w:kern w:val="0"/>
                <w:sz w:val="20"/>
                <w:szCs w:val="20"/>
                <w:lang w:val="fr-CA"/>
                <w14:ligatures w14:val="none"/>
              </w:rPr>
            </w:pPr>
            <w:r w:rsidRPr="00A81429">
              <w:rPr>
                <w:rFonts w:ascii="Arial" w:eastAsia="Calibri" w:hAnsi="Arial" w:cs="Arial"/>
                <w:b/>
                <w:color w:val="EAEAEA"/>
                <w:kern w:val="0"/>
                <w:sz w:val="20"/>
                <w:szCs w:val="20"/>
                <w:lang w:val="fr-CA"/>
                <w14:ligatures w14:val="none"/>
              </w:rPr>
              <w:t>Quels seront les indicateurs de réussite?</w:t>
            </w:r>
            <w:r w:rsidRPr="00A81429">
              <w:rPr>
                <w:rFonts w:ascii="Arial" w:eastAsia="Calibri" w:hAnsi="Arial" w:cs="Arial"/>
                <w:color w:val="EAEAEA"/>
                <w:kern w:val="0"/>
                <w:sz w:val="20"/>
                <w:szCs w:val="20"/>
                <w:lang w:val="fr-CA"/>
                <w14:ligatures w14:val="none"/>
              </w:rPr>
              <w:t> </w:t>
            </w:r>
          </w:p>
        </w:tc>
      </w:tr>
      <w:tr w:rsidR="00A81429" w:rsidRPr="00A81429" w14:paraId="5D372DC7" w14:textId="77777777" w:rsidTr="00EA4D28">
        <w:trPr>
          <w:trHeight w:val="5476"/>
        </w:trPr>
        <w:tc>
          <w:tcPr>
            <w:tcW w:w="3225" w:type="dxa"/>
            <w:tcBorders>
              <w:top w:val="single" w:sz="2" w:space="0" w:color="auto"/>
              <w:left w:val="single" w:sz="2" w:space="0" w:color="auto"/>
              <w:bottom w:val="single" w:sz="2" w:space="0" w:color="auto"/>
              <w:right w:val="single" w:sz="2" w:space="0" w:color="auto"/>
            </w:tcBorders>
            <w:hideMark/>
          </w:tcPr>
          <w:p w14:paraId="78410B98" w14:textId="77777777" w:rsidR="00A81429" w:rsidRPr="00A81429" w:rsidRDefault="00A81429" w:rsidP="00A81429">
            <w:pPr>
              <w:suppressAutoHyphens/>
              <w:autoSpaceDE w:val="0"/>
              <w:autoSpaceDN w:val="0"/>
              <w:adjustRightInd w:val="0"/>
              <w:spacing w:after="360" w:line="240" w:lineRule="auto"/>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Des systèmes de données solides pour guider les pratiques cliniques et soutenir l’évaluation des organismes et du système de soins. </w:t>
            </w:r>
          </w:p>
          <w:p w14:paraId="7266B389" w14:textId="77777777" w:rsidR="00A81429" w:rsidRPr="00A81429" w:rsidRDefault="00A81429" w:rsidP="00A81429">
            <w:pPr>
              <w:suppressAutoHyphens/>
              <w:autoSpaceDE w:val="0"/>
              <w:autoSpaceDN w:val="0"/>
              <w:adjustRightInd w:val="0"/>
              <w:spacing w:after="360" w:line="240" w:lineRule="auto"/>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Le suivi systématique des évaluations, de l’utilisation des services et des résultats de traitement.</w:t>
            </w:r>
          </w:p>
          <w:p w14:paraId="69028F92" w14:textId="77777777" w:rsidR="00A81429" w:rsidRPr="00A81429" w:rsidRDefault="00A81429" w:rsidP="00A81429">
            <w:pPr>
              <w:suppressAutoHyphens/>
              <w:autoSpaceDE w:val="0"/>
              <w:autoSpaceDN w:val="0"/>
              <w:adjustRightInd w:val="0"/>
              <w:spacing w:after="360" w:line="240" w:lineRule="auto"/>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Des données fiables pour garantir l’équité et définir les besoins de populations particulières.</w:t>
            </w:r>
          </w:p>
          <w:p w14:paraId="224AB72C" w14:textId="77777777" w:rsidR="00A81429" w:rsidRPr="00A81429" w:rsidRDefault="00A81429" w:rsidP="00A81429">
            <w:pPr>
              <w:suppressAutoHyphens/>
              <w:autoSpaceDE w:val="0"/>
              <w:autoSpaceDN w:val="0"/>
              <w:adjustRightInd w:val="0"/>
              <w:spacing w:after="360" w:line="240" w:lineRule="auto"/>
              <w:textAlignment w:val="center"/>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La surveillance systématique des voies d’accès efficaces entre les services de santé mentale en milieu scolaire et autres services liés à la santé mentale et aux dépendances chez les enfants et les jeunes.</w:t>
            </w:r>
          </w:p>
          <w:p w14:paraId="2761D260"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ED079F9"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c>
          <w:tcPr>
            <w:tcW w:w="3225" w:type="dxa"/>
            <w:tcBorders>
              <w:top w:val="single" w:sz="2" w:space="0" w:color="auto"/>
              <w:left w:val="single" w:sz="2" w:space="0" w:color="auto"/>
              <w:bottom w:val="single" w:sz="2" w:space="0" w:color="auto"/>
              <w:right w:val="single" w:sz="2" w:space="0" w:color="auto"/>
            </w:tcBorders>
            <w:hideMark/>
          </w:tcPr>
          <w:p w14:paraId="4EE44223"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ce à quoi ressemblera cette composante dans la réalité.</w:t>
            </w:r>
          </w:p>
          <w:p w14:paraId="25CA1C2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5A692B4"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7256E65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0AD0A255"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Les mesures en place :</w:t>
            </w:r>
          </w:p>
          <w:p w14:paraId="00F045DD"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1CB4DE7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61C84BE2"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C1406B6"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mesures à prendre :</w:t>
            </w:r>
          </w:p>
          <w:p w14:paraId="075261F7"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7E84FF24"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4F3D140B"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p>
          <w:p w14:paraId="7536CF85" w14:textId="77777777" w:rsidR="00A81429" w:rsidRPr="00A81429" w:rsidRDefault="00A81429" w:rsidP="00A81429">
            <w:pPr>
              <w:spacing w:after="0" w:line="240" w:lineRule="auto"/>
              <w:rPr>
                <w:rFonts w:ascii="Arial" w:eastAsia="Calibri" w:hAnsi="Arial" w:cs="Arial"/>
                <w:color w:val="ED0000"/>
                <w:kern w:val="0"/>
                <w:sz w:val="20"/>
                <w:szCs w:val="20"/>
                <w:lang w:val="fr-CA"/>
                <w14:ligatures w14:val="none"/>
              </w:rPr>
            </w:pPr>
            <w:r w:rsidRPr="00A81429">
              <w:rPr>
                <w:rFonts w:ascii="Arial" w:eastAsia="Calibri" w:hAnsi="Arial" w:cs="Arial"/>
                <w:b/>
                <w:color w:val="ED0000"/>
                <w:kern w:val="0"/>
                <w:sz w:val="20"/>
                <w:szCs w:val="20"/>
                <w:lang w:val="fr-CA"/>
                <w14:ligatures w14:val="none"/>
              </w:rPr>
              <w:t>Les stratégies possibles pour aborder ce travail :</w:t>
            </w:r>
          </w:p>
          <w:p w14:paraId="52C4263D" w14:textId="77777777" w:rsidR="00A81429" w:rsidRPr="00A81429" w:rsidRDefault="00A81429" w:rsidP="00A81429">
            <w:pPr>
              <w:spacing w:after="0" w:line="240" w:lineRule="auto"/>
              <w:rPr>
                <w:rFonts w:ascii="Arial" w:eastAsia="Calibri" w:hAnsi="Arial" w:cs="Arial"/>
                <w:color w:val="B01037"/>
                <w:kern w:val="0"/>
                <w:sz w:val="20"/>
                <w:szCs w:val="20"/>
                <w:lang w:val="fr-CA"/>
                <w14:ligatures w14:val="none"/>
              </w:rPr>
            </w:pPr>
          </w:p>
          <w:p w14:paraId="49FBD4FE"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5D26DE27"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37255BC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c>
          <w:tcPr>
            <w:tcW w:w="3225" w:type="dxa"/>
            <w:tcBorders>
              <w:top w:val="single" w:sz="2" w:space="0" w:color="auto"/>
              <w:left w:val="single" w:sz="2" w:space="0" w:color="auto"/>
              <w:bottom w:val="single" w:sz="2" w:space="0" w:color="auto"/>
              <w:right w:val="single" w:sz="2" w:space="0" w:color="auto"/>
            </w:tcBorders>
            <w:hideMark/>
          </w:tcPr>
          <w:p w14:paraId="2F3DCFE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Dressez une liste des parties prenantes (personnes, partenaires) à la prestation de cette composante.</w:t>
            </w:r>
            <w:r w:rsidRPr="00A81429">
              <w:rPr>
                <w:rFonts w:ascii="Arial" w:eastAsia="Calibri" w:hAnsi="Arial" w:cs="Arial"/>
                <w:color w:val="000000"/>
                <w:kern w:val="0"/>
                <w:sz w:val="20"/>
                <w:szCs w:val="20"/>
                <w:lang w:val="fr-CA"/>
                <w14:ligatures w14:val="none"/>
              </w:rPr>
              <w:t> </w:t>
            </w:r>
          </w:p>
        </w:tc>
        <w:tc>
          <w:tcPr>
            <w:tcW w:w="3225" w:type="dxa"/>
            <w:tcBorders>
              <w:top w:val="single" w:sz="2" w:space="0" w:color="auto"/>
              <w:left w:val="single" w:sz="2" w:space="0" w:color="auto"/>
              <w:bottom w:val="single" w:sz="2" w:space="0" w:color="auto"/>
              <w:right w:val="single" w:sz="2" w:space="0" w:color="auto"/>
            </w:tcBorders>
            <w:hideMark/>
          </w:tcPr>
          <w:p w14:paraId="715ECEF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Décrivez de quelle façon vous mesurerez et évaluerez la réussite de cette composante.</w:t>
            </w:r>
            <w:r w:rsidRPr="00A81429">
              <w:rPr>
                <w:rFonts w:ascii="Arial" w:eastAsia="Calibri" w:hAnsi="Arial" w:cs="Arial"/>
                <w:color w:val="000000"/>
                <w:kern w:val="0"/>
                <w:sz w:val="20"/>
                <w:szCs w:val="20"/>
                <w:lang w:val="fr-CA"/>
                <w14:ligatures w14:val="none"/>
              </w:rPr>
              <w:t> </w:t>
            </w:r>
          </w:p>
        </w:tc>
      </w:tr>
      <w:tr w:rsidR="00A81429" w:rsidRPr="00A81429" w14:paraId="1D9E9BF3" w14:textId="77777777" w:rsidTr="00EA4D28">
        <w:trPr>
          <w:trHeight w:val="300"/>
        </w:trPr>
        <w:tc>
          <w:tcPr>
            <w:tcW w:w="12945" w:type="dxa"/>
            <w:gridSpan w:val="4"/>
            <w:tcBorders>
              <w:top w:val="single" w:sz="2" w:space="0" w:color="auto"/>
              <w:left w:val="single" w:sz="2" w:space="0" w:color="auto"/>
              <w:bottom w:val="single" w:sz="2" w:space="0" w:color="auto"/>
              <w:right w:val="single" w:sz="2" w:space="0" w:color="auto"/>
            </w:tcBorders>
            <w:hideMark/>
          </w:tcPr>
          <w:p w14:paraId="28E406EF"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nos forces actuelles sur lesquelles nous pouvons miser?</w:t>
            </w:r>
          </w:p>
          <w:p w14:paraId="4EEAB7EB"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r w:rsidR="00A81429" w:rsidRPr="00A81429" w14:paraId="14EBF33D" w14:textId="77777777" w:rsidTr="00EA4D28">
        <w:trPr>
          <w:trHeight w:val="300"/>
        </w:trPr>
        <w:tc>
          <w:tcPr>
            <w:tcW w:w="12945" w:type="dxa"/>
            <w:gridSpan w:val="4"/>
            <w:tcBorders>
              <w:top w:val="single" w:sz="2" w:space="0" w:color="auto"/>
              <w:left w:val="single" w:sz="2" w:space="0" w:color="auto"/>
              <w:bottom w:val="single" w:sz="2" w:space="0" w:color="auto"/>
              <w:right w:val="single" w:sz="2" w:space="0" w:color="auto"/>
            </w:tcBorders>
            <w:hideMark/>
          </w:tcPr>
          <w:p w14:paraId="68D16A21"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b/>
                <w:color w:val="000000"/>
                <w:kern w:val="0"/>
                <w:sz w:val="20"/>
                <w:szCs w:val="20"/>
                <w:lang w:val="fr-CA"/>
                <w14:ligatures w14:val="none"/>
              </w:rPr>
              <w:t>Quelles sont les lacunes dont nous devons avoir conscience et de quelle façon pouvons-nous les atténuer?</w:t>
            </w:r>
          </w:p>
          <w:p w14:paraId="44E15E50"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 </w:t>
            </w:r>
          </w:p>
        </w:tc>
      </w:tr>
    </w:tbl>
    <w:p w14:paraId="3ADF2C46"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p>
    <w:p w14:paraId="1EB24D5A" w14:textId="77777777" w:rsidR="00A81429" w:rsidRPr="00A81429" w:rsidRDefault="00A81429" w:rsidP="00A81429">
      <w:pPr>
        <w:spacing w:after="0" w:line="240" w:lineRule="auto"/>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Cet outil a été adapté à partir des ressources suivantes :</w:t>
      </w:r>
    </w:p>
    <w:p w14:paraId="394E39F5" w14:textId="77777777" w:rsidR="00A81429" w:rsidRPr="00A81429" w:rsidRDefault="00A81429" w:rsidP="00A81429">
      <w:pPr>
        <w:spacing w:after="0" w:line="240" w:lineRule="auto"/>
        <w:ind w:left="1170" w:hanging="180"/>
        <w:rPr>
          <w:rFonts w:ascii="Arial" w:eastAsia="Calibri" w:hAnsi="Arial" w:cs="Arial"/>
          <w:color w:val="000000"/>
          <w:kern w:val="0"/>
          <w:sz w:val="20"/>
          <w:szCs w:val="20"/>
          <w:lang w:val="fr-CA"/>
          <w14:ligatures w14:val="none"/>
        </w:rPr>
      </w:pPr>
      <w:r w:rsidRPr="00A81429">
        <w:rPr>
          <w:rFonts w:ascii="Arial" w:eastAsia="Calibri" w:hAnsi="Arial" w:cs="Arial"/>
          <w:color w:val="000000"/>
          <w:kern w:val="0"/>
          <w:sz w:val="20"/>
          <w:szCs w:val="20"/>
          <w:lang w:val="fr-CA"/>
          <w14:ligatures w14:val="none"/>
        </w:rPr>
        <w:t>Ressource de mise en œuvre du programme Triple P portant sur la planification</w:t>
      </w:r>
      <w:r w:rsidRPr="00A81429">
        <w:rPr>
          <w:rFonts w:ascii="Arial" w:eastAsia="Calibri" w:hAnsi="Arial" w:cs="Arial"/>
          <w:i/>
          <w:iCs/>
          <w:color w:val="000000"/>
          <w:kern w:val="0"/>
          <w:sz w:val="20"/>
          <w:szCs w:val="20"/>
          <w:lang w:val="fr-CA"/>
          <w14:ligatures w14:val="none"/>
        </w:rPr>
        <w:t>,</w:t>
      </w:r>
      <w:r w:rsidRPr="00A81429">
        <w:rPr>
          <w:rFonts w:ascii="Arial" w:eastAsia="Calibri" w:hAnsi="Arial" w:cs="Arial"/>
          <w:color w:val="000000"/>
          <w:kern w:val="0"/>
          <w:sz w:val="20"/>
          <w:szCs w:val="20"/>
          <w:lang w:val="fr-CA"/>
          <w14:ligatures w14:val="none"/>
        </w:rPr>
        <w:t xml:space="preserve"> élaborée par Triple P International en ce qui concerne l’application de la gamme d’interventions du ressort de ce programme, lesquelles sont effectuées par les </w:t>
      </w:r>
      <w:proofErr w:type="spellStart"/>
      <w:proofErr w:type="gramStart"/>
      <w:r w:rsidRPr="00A81429">
        <w:rPr>
          <w:rFonts w:ascii="Arial" w:eastAsia="Calibri" w:hAnsi="Arial" w:cs="Arial"/>
          <w:color w:val="000000"/>
          <w:kern w:val="0"/>
          <w:sz w:val="20"/>
          <w:szCs w:val="20"/>
          <w:lang w:val="fr-CA"/>
          <w14:ligatures w14:val="none"/>
        </w:rPr>
        <w:t>praticien.ne.s</w:t>
      </w:r>
      <w:proofErr w:type="spellEnd"/>
      <w:proofErr w:type="gramEnd"/>
      <w:r w:rsidRPr="00A81429">
        <w:rPr>
          <w:rFonts w:ascii="Arial" w:eastAsia="Calibri" w:hAnsi="Arial" w:cs="Arial"/>
          <w:color w:val="000000"/>
          <w:kern w:val="0"/>
          <w:sz w:val="20"/>
          <w:szCs w:val="20"/>
          <w:lang w:val="fr-CA"/>
          <w14:ligatures w14:val="none"/>
        </w:rPr>
        <w:t xml:space="preserve"> et accessibles au moyen de la version en ligne de ce dernier.</w:t>
      </w:r>
    </w:p>
    <w:p w14:paraId="091231B1" w14:textId="77777777" w:rsidR="00A81429" w:rsidRPr="00A81429" w:rsidRDefault="00A81429" w:rsidP="00A81429">
      <w:pPr>
        <w:numPr>
          <w:ilvl w:val="0"/>
          <w:numId w:val="8"/>
        </w:numPr>
        <w:suppressAutoHyphens/>
        <w:autoSpaceDE w:val="0"/>
        <w:autoSpaceDN w:val="0"/>
        <w:adjustRightInd w:val="0"/>
        <w:spacing w:after="0" w:line="240" w:lineRule="auto"/>
        <w:textAlignment w:val="center"/>
        <w:rPr>
          <w:rFonts w:ascii="Arial" w:eastAsia="Calibri" w:hAnsi="Arial" w:cs="Arial"/>
          <w:color w:val="000000"/>
          <w:kern w:val="0"/>
          <w:sz w:val="20"/>
          <w:szCs w:val="20"/>
          <w:lang w:val="en-US"/>
          <w14:ligatures w14:val="none"/>
        </w:rPr>
      </w:pPr>
      <w:r w:rsidRPr="00A81429">
        <w:rPr>
          <w:rFonts w:ascii="Arial" w:eastAsia="Calibri" w:hAnsi="Arial" w:cs="Arial"/>
          <w:color w:val="000000"/>
          <w:kern w:val="0"/>
          <w:sz w:val="20"/>
          <w:szCs w:val="20"/>
          <w:lang w:val="en-US"/>
          <w14:ligatures w14:val="none"/>
        </w:rPr>
        <w:lastRenderedPageBreak/>
        <w:t>National Implementation Research Network (2011). « Practice profile activity – working towards implementation fluency© ».</w:t>
      </w:r>
    </w:p>
    <w:p w14:paraId="368811BD" w14:textId="1A0903EF" w:rsidR="00CB0000" w:rsidRPr="00A81429" w:rsidRDefault="00A81429" w:rsidP="00A81429">
      <w:r w:rsidRPr="00A81429">
        <w:rPr>
          <w:rFonts w:ascii="Arial" w:eastAsia="Calibri" w:hAnsi="Arial" w:cs="Arial"/>
          <w:color w:val="000000"/>
          <w:kern w:val="0"/>
          <w:sz w:val="20"/>
          <w:szCs w:val="20"/>
          <w:lang w:val="en-US"/>
          <w14:ligatures w14:val="none"/>
        </w:rPr>
        <w:t xml:space="preserve">Barwick, M. (2018). « The implementation game© worksheet ». </w:t>
      </w:r>
    </w:p>
    <w:sectPr w:rsidR="00CB0000" w:rsidRPr="00A81429" w:rsidSect="00A8142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543F" w14:textId="77777777" w:rsidR="00726B96" w:rsidRDefault="00726B96" w:rsidP="00642309">
      <w:pPr>
        <w:spacing w:after="0" w:line="240" w:lineRule="auto"/>
      </w:pPr>
      <w:r>
        <w:separator/>
      </w:r>
    </w:p>
  </w:endnote>
  <w:endnote w:type="continuationSeparator" w:id="0">
    <w:p w14:paraId="376C8A67" w14:textId="77777777" w:rsidR="00726B96" w:rsidRDefault="00726B96" w:rsidP="0064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90FE" w14:textId="77777777" w:rsidR="00726B96" w:rsidRDefault="00726B96" w:rsidP="00642309">
      <w:pPr>
        <w:spacing w:after="0" w:line="240" w:lineRule="auto"/>
      </w:pPr>
      <w:r>
        <w:separator/>
      </w:r>
    </w:p>
  </w:footnote>
  <w:footnote w:type="continuationSeparator" w:id="0">
    <w:p w14:paraId="6FBDC1E5" w14:textId="77777777" w:rsidR="00726B96" w:rsidRDefault="00726B96" w:rsidP="00642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4326" w14:textId="33023254" w:rsidR="00642309" w:rsidRDefault="00642309">
    <w:pPr>
      <w:pStyle w:val="Header"/>
    </w:pPr>
    <w:r>
      <w:rPr>
        <w:noProof/>
      </w:rPr>
      <w:drawing>
        <wp:anchor distT="0" distB="0" distL="114300" distR="114300" simplePos="0" relativeHeight="251659264" behindDoc="1" locked="0" layoutInCell="1" allowOverlap="1" wp14:anchorId="76519209" wp14:editId="70CC4DFD">
          <wp:simplePos x="0" y="0"/>
          <wp:positionH relativeFrom="column">
            <wp:posOffset>1858893</wp:posOffset>
          </wp:positionH>
          <wp:positionV relativeFrom="paragraph">
            <wp:posOffset>-161290</wp:posOffset>
          </wp:positionV>
          <wp:extent cx="4059936" cy="350229"/>
          <wp:effectExtent l="0" t="0" r="0" b="0"/>
          <wp:wrapTight wrapText="bothSides">
            <wp:wrapPolygon edited="0">
              <wp:start x="6487" y="0"/>
              <wp:lineTo x="0" y="2352"/>
              <wp:lineTo x="0" y="15289"/>
              <wp:lineTo x="7298" y="19993"/>
              <wp:lineTo x="10035" y="19993"/>
              <wp:lineTo x="21489" y="17641"/>
              <wp:lineTo x="21489" y="1176"/>
              <wp:lineTo x="12670" y="0"/>
              <wp:lineTo x="6487" y="0"/>
            </wp:wrapPolygon>
          </wp:wrapTight>
          <wp:docPr id="1655031117" name="Picture 2" descr="Santé mentale en milieu scolaire Ontario&#10;Institut du savoir due la santé mentale et les dépendances chez les enfantas et les jeunes Consortium des agences  responsables en santé mentale chez les enfants et les jeunes carrefours bein-être pour les jeunes de l'ontario Santé mentale pour enfant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31117" name="Picture 2" descr="Santé mentale en milieu scolaire Ontario&#10;Institut du savoir due la santé mentale et les dépendances chez les enfantas et les jeunes Consortium des agences  responsables en santé mentale chez les enfants et les jeunes carrefours bein-être pour les jeunes de l'ontario Santé mentale pour enfants Ontario"/>
                  <pic:cNvPicPr/>
                </pic:nvPicPr>
                <pic:blipFill>
                  <a:blip r:embed="rId1">
                    <a:extLst>
                      <a:ext uri="{28A0092B-C50C-407E-A947-70E740481C1C}">
                        <a14:useLocalDpi xmlns:a14="http://schemas.microsoft.com/office/drawing/2010/main" val="0"/>
                      </a:ext>
                    </a:extLst>
                  </a:blip>
                  <a:stretch>
                    <a:fillRect/>
                  </a:stretch>
                </pic:blipFill>
                <pic:spPr>
                  <a:xfrm>
                    <a:off x="0" y="0"/>
                    <a:ext cx="4059936" cy="350229"/>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928"/>
    <w:multiLevelType w:val="hybridMultilevel"/>
    <w:tmpl w:val="C61A89CA"/>
    <w:lvl w:ilvl="0" w:tplc="61E05C26">
      <w:start w:val="1"/>
      <w:numFmt w:val="bullet"/>
      <w:lvlText w:val=""/>
      <w:lvlJc w:val="left"/>
      <w:pPr>
        <w:ind w:left="1710" w:hanging="360"/>
      </w:pPr>
      <w:rPr>
        <w:rFonts w:ascii="Symbol" w:hAnsi="Symbol" w:hint="default"/>
        <w:color w:val="0070C0"/>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1" w15:restartNumberingAfterBreak="0">
    <w:nsid w:val="1EF96985"/>
    <w:multiLevelType w:val="hybridMultilevel"/>
    <w:tmpl w:val="1A7A3B4C"/>
    <w:lvl w:ilvl="0" w:tplc="61E05C26">
      <w:start w:val="1"/>
      <w:numFmt w:val="bullet"/>
      <w:lvlText w:val=""/>
      <w:lvlJc w:val="left"/>
      <w:pPr>
        <w:ind w:left="1710" w:hanging="360"/>
      </w:pPr>
      <w:rPr>
        <w:rFonts w:ascii="Symbol" w:hAnsi="Symbol" w:hint="default"/>
        <w:color w:val="0070C0"/>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 w15:restartNumberingAfterBreak="0">
    <w:nsid w:val="34B703C5"/>
    <w:multiLevelType w:val="hybridMultilevel"/>
    <w:tmpl w:val="B8564C94"/>
    <w:lvl w:ilvl="0" w:tplc="E5522D86">
      <w:start w:val="1"/>
      <w:numFmt w:val="bullet"/>
      <w:lvlText w:val="●"/>
      <w:lvlJc w:val="left"/>
      <w:pPr>
        <w:ind w:left="1170" w:hanging="180"/>
      </w:pPr>
      <w:rPr>
        <w:rFonts w:ascii="Courier New" w:hAnsi="Courier New" w:hint="default"/>
        <w:color w:val="34A94A"/>
        <w:sz w:val="20"/>
        <w:lang w:val="en-US"/>
      </w:rPr>
    </w:lvl>
    <w:lvl w:ilvl="1" w:tplc="D624E182">
      <w:start w:val="1"/>
      <w:numFmt w:val="bullet"/>
      <w:lvlText w:val="o"/>
      <w:lvlJc w:val="left"/>
      <w:pPr>
        <w:ind w:left="2160" w:hanging="360"/>
      </w:pPr>
      <w:rPr>
        <w:rFonts w:ascii="Courier New" w:hAnsi="Courier New" w:hint="default"/>
      </w:rPr>
    </w:lvl>
    <w:lvl w:ilvl="2" w:tplc="F25A2E86" w:tentative="1">
      <w:start w:val="1"/>
      <w:numFmt w:val="bullet"/>
      <w:lvlText w:val=""/>
      <w:lvlJc w:val="left"/>
      <w:pPr>
        <w:ind w:left="2880" w:hanging="360"/>
      </w:pPr>
      <w:rPr>
        <w:rFonts w:ascii="Wingdings" w:hAnsi="Wingdings" w:hint="default"/>
      </w:rPr>
    </w:lvl>
    <w:lvl w:ilvl="3" w:tplc="398E7388" w:tentative="1">
      <w:start w:val="1"/>
      <w:numFmt w:val="bullet"/>
      <w:lvlText w:val=""/>
      <w:lvlJc w:val="left"/>
      <w:pPr>
        <w:ind w:left="3600" w:hanging="360"/>
      </w:pPr>
      <w:rPr>
        <w:rFonts w:ascii="Symbol" w:hAnsi="Symbol" w:hint="default"/>
      </w:rPr>
    </w:lvl>
    <w:lvl w:ilvl="4" w:tplc="C5C6CB88" w:tentative="1">
      <w:start w:val="1"/>
      <w:numFmt w:val="bullet"/>
      <w:lvlText w:val="o"/>
      <w:lvlJc w:val="left"/>
      <w:pPr>
        <w:ind w:left="4320" w:hanging="360"/>
      </w:pPr>
      <w:rPr>
        <w:rFonts w:ascii="Courier New" w:hAnsi="Courier New" w:hint="default"/>
      </w:rPr>
    </w:lvl>
    <w:lvl w:ilvl="5" w:tplc="AFF25222" w:tentative="1">
      <w:start w:val="1"/>
      <w:numFmt w:val="bullet"/>
      <w:lvlText w:val=""/>
      <w:lvlJc w:val="left"/>
      <w:pPr>
        <w:ind w:left="5040" w:hanging="360"/>
      </w:pPr>
      <w:rPr>
        <w:rFonts w:ascii="Wingdings" w:hAnsi="Wingdings" w:hint="default"/>
      </w:rPr>
    </w:lvl>
    <w:lvl w:ilvl="6" w:tplc="345AA86A" w:tentative="1">
      <w:start w:val="1"/>
      <w:numFmt w:val="bullet"/>
      <w:lvlText w:val=""/>
      <w:lvlJc w:val="left"/>
      <w:pPr>
        <w:ind w:left="5760" w:hanging="360"/>
      </w:pPr>
      <w:rPr>
        <w:rFonts w:ascii="Symbol" w:hAnsi="Symbol" w:hint="default"/>
      </w:rPr>
    </w:lvl>
    <w:lvl w:ilvl="7" w:tplc="6882B2F0" w:tentative="1">
      <w:start w:val="1"/>
      <w:numFmt w:val="bullet"/>
      <w:lvlText w:val="o"/>
      <w:lvlJc w:val="left"/>
      <w:pPr>
        <w:ind w:left="6480" w:hanging="360"/>
      </w:pPr>
      <w:rPr>
        <w:rFonts w:ascii="Courier New" w:hAnsi="Courier New" w:hint="default"/>
      </w:rPr>
    </w:lvl>
    <w:lvl w:ilvl="8" w:tplc="229E8E56" w:tentative="1">
      <w:start w:val="1"/>
      <w:numFmt w:val="bullet"/>
      <w:lvlText w:val=""/>
      <w:lvlJc w:val="left"/>
      <w:pPr>
        <w:ind w:left="7200" w:hanging="360"/>
      </w:pPr>
      <w:rPr>
        <w:rFonts w:ascii="Wingdings" w:hAnsi="Wingdings" w:hint="default"/>
      </w:rPr>
    </w:lvl>
  </w:abstractNum>
  <w:abstractNum w:abstractNumId="3" w15:restartNumberingAfterBreak="0">
    <w:nsid w:val="3FA85058"/>
    <w:multiLevelType w:val="hybridMultilevel"/>
    <w:tmpl w:val="2C0639FE"/>
    <w:lvl w:ilvl="0" w:tplc="61E05C26">
      <w:start w:val="1"/>
      <w:numFmt w:val="bullet"/>
      <w:lvlText w:val=""/>
      <w:lvlJc w:val="left"/>
      <w:pPr>
        <w:ind w:left="720" w:hanging="360"/>
      </w:pPr>
      <w:rPr>
        <w:rFonts w:ascii="Symbol" w:hAnsi="Symbol" w:hint="default"/>
        <w:color w:val="0070C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8B7A0F"/>
    <w:multiLevelType w:val="hybridMultilevel"/>
    <w:tmpl w:val="BB147072"/>
    <w:lvl w:ilvl="0" w:tplc="61E05C26">
      <w:start w:val="1"/>
      <w:numFmt w:val="bullet"/>
      <w:lvlText w:val=""/>
      <w:lvlJc w:val="left"/>
      <w:pPr>
        <w:ind w:left="1710" w:hanging="360"/>
      </w:pPr>
      <w:rPr>
        <w:rFonts w:ascii="Symbol" w:hAnsi="Symbol" w:hint="default"/>
        <w:color w:val="0070C0"/>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5" w15:restartNumberingAfterBreak="0">
    <w:nsid w:val="495C091D"/>
    <w:multiLevelType w:val="hybridMultilevel"/>
    <w:tmpl w:val="827AF4C0"/>
    <w:lvl w:ilvl="0" w:tplc="61E05C26">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8D5B6D"/>
    <w:multiLevelType w:val="hybridMultilevel"/>
    <w:tmpl w:val="E3F6E99E"/>
    <w:lvl w:ilvl="0" w:tplc="61E05C26">
      <w:start w:val="1"/>
      <w:numFmt w:val="bullet"/>
      <w:lvlText w:val=""/>
      <w:lvlJc w:val="left"/>
      <w:pPr>
        <w:ind w:left="180" w:hanging="180"/>
      </w:pPr>
      <w:rPr>
        <w:rFonts w:ascii="Symbol" w:hAnsi="Symbol" w:hint="default"/>
        <w:color w:val="0070C0"/>
        <w:sz w:val="20"/>
        <w:lang w:val="en-US"/>
      </w:rPr>
    </w:lvl>
    <w:lvl w:ilvl="1" w:tplc="FFFFFFFF">
      <w:start w:val="1"/>
      <w:numFmt w:val="bullet"/>
      <w:lvlText w:val=""/>
      <w:lvlJc w:val="left"/>
      <w:pPr>
        <w:ind w:left="1170" w:hanging="360"/>
      </w:pPr>
      <w:rPr>
        <w:rFonts w:ascii="Symbol" w:hAnsi="Symbol" w:hint="default"/>
        <w:color w:val="0070C0"/>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7" w15:restartNumberingAfterBreak="0">
    <w:nsid w:val="5DFE2A0E"/>
    <w:multiLevelType w:val="hybridMultilevel"/>
    <w:tmpl w:val="27EA8B78"/>
    <w:lvl w:ilvl="0" w:tplc="61E05C26">
      <w:start w:val="1"/>
      <w:numFmt w:val="bullet"/>
      <w:lvlText w:val=""/>
      <w:lvlJc w:val="left"/>
      <w:pPr>
        <w:ind w:left="1710" w:hanging="360"/>
      </w:pPr>
      <w:rPr>
        <w:rFonts w:ascii="Symbol" w:hAnsi="Symbol" w:hint="default"/>
        <w:color w:val="0070C0"/>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8" w15:restartNumberingAfterBreak="0">
    <w:nsid w:val="61567B17"/>
    <w:multiLevelType w:val="hybridMultilevel"/>
    <w:tmpl w:val="04B6175C"/>
    <w:lvl w:ilvl="0" w:tplc="61E05C26">
      <w:start w:val="1"/>
      <w:numFmt w:val="bullet"/>
      <w:lvlText w:val=""/>
      <w:lvlJc w:val="left"/>
      <w:pPr>
        <w:ind w:left="360" w:hanging="360"/>
      </w:pPr>
      <w:rPr>
        <w:rFonts w:ascii="Symbol" w:hAnsi="Symbol" w:hint="default"/>
        <w:color w:val="0070C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7E5132C"/>
    <w:multiLevelType w:val="hybridMultilevel"/>
    <w:tmpl w:val="89003344"/>
    <w:lvl w:ilvl="0" w:tplc="61E05C26">
      <w:start w:val="1"/>
      <w:numFmt w:val="bullet"/>
      <w:lvlText w:val=""/>
      <w:lvlJc w:val="left"/>
      <w:pPr>
        <w:ind w:left="900" w:hanging="360"/>
      </w:pPr>
      <w:rPr>
        <w:rFonts w:ascii="Symbol" w:hAnsi="Symbol" w:hint="default"/>
        <w:color w:val="0070C0"/>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69483E38"/>
    <w:multiLevelType w:val="hybridMultilevel"/>
    <w:tmpl w:val="75D6084C"/>
    <w:lvl w:ilvl="0" w:tplc="61E05C26">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77793406">
    <w:abstractNumId w:val="2"/>
  </w:num>
  <w:num w:numId="2" w16cid:durableId="2111929556">
    <w:abstractNumId w:val="1"/>
  </w:num>
  <w:num w:numId="3" w16cid:durableId="965890235">
    <w:abstractNumId w:val="7"/>
  </w:num>
  <w:num w:numId="4" w16cid:durableId="2061787060">
    <w:abstractNumId w:val="4"/>
  </w:num>
  <w:num w:numId="5" w16cid:durableId="1380595927">
    <w:abstractNumId w:val="3"/>
  </w:num>
  <w:num w:numId="6" w16cid:durableId="1914075756">
    <w:abstractNumId w:val="8"/>
  </w:num>
  <w:num w:numId="7" w16cid:durableId="546527312">
    <w:abstractNumId w:val="6"/>
  </w:num>
  <w:num w:numId="8" w16cid:durableId="196087090">
    <w:abstractNumId w:val="10"/>
  </w:num>
  <w:num w:numId="9" w16cid:durableId="2002460061">
    <w:abstractNumId w:val="5"/>
  </w:num>
  <w:num w:numId="10" w16cid:durableId="1051346794">
    <w:abstractNumId w:val="9"/>
  </w:num>
  <w:num w:numId="11" w16cid:durableId="127771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09"/>
    <w:rsid w:val="00097149"/>
    <w:rsid w:val="000F455A"/>
    <w:rsid w:val="001675FA"/>
    <w:rsid w:val="0026743F"/>
    <w:rsid w:val="002F1370"/>
    <w:rsid w:val="00601148"/>
    <w:rsid w:val="00642309"/>
    <w:rsid w:val="006A58EC"/>
    <w:rsid w:val="00726B96"/>
    <w:rsid w:val="0088660F"/>
    <w:rsid w:val="00A81429"/>
    <w:rsid w:val="00BF150B"/>
    <w:rsid w:val="00BF58D4"/>
    <w:rsid w:val="00CB0000"/>
    <w:rsid w:val="00D05EFC"/>
    <w:rsid w:val="00FA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F3B2C"/>
  <w15:chartTrackingRefBased/>
  <w15:docId w15:val="{3BADE283-4A10-48DD-8283-70ADE38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8D4"/>
  </w:style>
  <w:style w:type="paragraph" w:styleId="Heading1">
    <w:name w:val="heading 1"/>
    <w:basedOn w:val="Normal"/>
    <w:next w:val="Normal"/>
    <w:link w:val="Heading1Char"/>
    <w:uiPriority w:val="9"/>
    <w:qFormat/>
    <w:rsid w:val="00BF58D4"/>
    <w:pPr>
      <w:keepNext/>
      <w:keepLines/>
      <w:spacing w:before="240" w:after="0"/>
      <w:outlineLvl w:val="0"/>
    </w:pPr>
    <w:rPr>
      <w:rFonts w:asciiTheme="majorHAnsi" w:eastAsiaTheme="majorEastAsia" w:hAnsiTheme="majorHAnsi" w:cstheme="majorBidi"/>
      <w:color w:val="2D4D85" w:themeColor="accent1" w:themeShade="BF"/>
      <w:sz w:val="32"/>
      <w:szCs w:val="32"/>
    </w:rPr>
  </w:style>
  <w:style w:type="paragraph" w:styleId="Heading2">
    <w:name w:val="heading 2"/>
    <w:basedOn w:val="Normal"/>
    <w:next w:val="Normal"/>
    <w:link w:val="Heading2Char"/>
    <w:uiPriority w:val="9"/>
    <w:unhideWhenUsed/>
    <w:qFormat/>
    <w:rsid w:val="00BF58D4"/>
    <w:pPr>
      <w:keepNext/>
      <w:keepLines/>
      <w:spacing w:before="40" w:after="0"/>
      <w:outlineLvl w:val="1"/>
    </w:pPr>
    <w:rPr>
      <w:rFonts w:asciiTheme="majorHAnsi" w:eastAsiaTheme="majorEastAsia" w:hAnsiTheme="majorHAnsi" w:cstheme="majorBidi"/>
      <w:color w:val="2D4D85" w:themeColor="accent1" w:themeShade="BF"/>
      <w:sz w:val="26"/>
      <w:szCs w:val="26"/>
    </w:rPr>
  </w:style>
  <w:style w:type="paragraph" w:styleId="Heading3">
    <w:name w:val="heading 3"/>
    <w:basedOn w:val="Normal"/>
    <w:next w:val="Normal"/>
    <w:link w:val="Heading3Char"/>
    <w:uiPriority w:val="9"/>
    <w:semiHidden/>
    <w:unhideWhenUsed/>
    <w:qFormat/>
    <w:rsid w:val="00642309"/>
    <w:pPr>
      <w:keepNext/>
      <w:keepLines/>
      <w:spacing w:before="160" w:after="80"/>
      <w:outlineLvl w:val="2"/>
    </w:pPr>
    <w:rPr>
      <w:rFonts w:eastAsiaTheme="majorEastAsia" w:cstheme="majorBidi"/>
      <w:color w:val="2D4D85" w:themeColor="accent1" w:themeShade="BF"/>
      <w:sz w:val="28"/>
      <w:szCs w:val="28"/>
    </w:rPr>
  </w:style>
  <w:style w:type="paragraph" w:styleId="Heading4">
    <w:name w:val="heading 4"/>
    <w:basedOn w:val="Normal"/>
    <w:next w:val="Normal"/>
    <w:link w:val="Heading4Char"/>
    <w:uiPriority w:val="9"/>
    <w:semiHidden/>
    <w:unhideWhenUsed/>
    <w:qFormat/>
    <w:rsid w:val="00642309"/>
    <w:pPr>
      <w:keepNext/>
      <w:keepLines/>
      <w:spacing w:before="80" w:after="40"/>
      <w:outlineLvl w:val="3"/>
    </w:pPr>
    <w:rPr>
      <w:rFonts w:eastAsiaTheme="majorEastAsia" w:cstheme="majorBidi"/>
      <w:i/>
      <w:iCs/>
      <w:color w:val="2D4D85" w:themeColor="accent1" w:themeShade="BF"/>
    </w:rPr>
  </w:style>
  <w:style w:type="paragraph" w:styleId="Heading5">
    <w:name w:val="heading 5"/>
    <w:basedOn w:val="Normal"/>
    <w:next w:val="Normal"/>
    <w:link w:val="Heading5Char"/>
    <w:uiPriority w:val="9"/>
    <w:semiHidden/>
    <w:unhideWhenUsed/>
    <w:qFormat/>
    <w:rsid w:val="00642309"/>
    <w:pPr>
      <w:keepNext/>
      <w:keepLines/>
      <w:spacing w:before="80" w:after="40"/>
      <w:outlineLvl w:val="4"/>
    </w:pPr>
    <w:rPr>
      <w:rFonts w:eastAsiaTheme="majorEastAsia" w:cstheme="majorBidi"/>
      <w:color w:val="2D4D85" w:themeColor="accent1" w:themeShade="BF"/>
    </w:rPr>
  </w:style>
  <w:style w:type="paragraph" w:styleId="Heading6">
    <w:name w:val="heading 6"/>
    <w:basedOn w:val="Normal"/>
    <w:next w:val="Normal"/>
    <w:link w:val="Heading6Char"/>
    <w:uiPriority w:val="9"/>
    <w:semiHidden/>
    <w:unhideWhenUsed/>
    <w:qFormat/>
    <w:rsid w:val="00642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D4"/>
    <w:rPr>
      <w:rFonts w:asciiTheme="majorHAnsi" w:eastAsiaTheme="majorEastAsia" w:hAnsiTheme="majorHAnsi" w:cstheme="majorBidi"/>
      <w:color w:val="2D4D85" w:themeColor="accent1" w:themeShade="BF"/>
      <w:sz w:val="32"/>
      <w:szCs w:val="32"/>
    </w:rPr>
  </w:style>
  <w:style w:type="character" w:customStyle="1" w:styleId="Heading2Char">
    <w:name w:val="Heading 2 Char"/>
    <w:basedOn w:val="DefaultParagraphFont"/>
    <w:link w:val="Heading2"/>
    <w:uiPriority w:val="9"/>
    <w:rsid w:val="00BF58D4"/>
    <w:rPr>
      <w:rFonts w:asciiTheme="majorHAnsi" w:eastAsiaTheme="majorEastAsia" w:hAnsiTheme="majorHAnsi" w:cstheme="majorBidi"/>
      <w:color w:val="2D4D85" w:themeColor="accent1" w:themeShade="BF"/>
      <w:sz w:val="26"/>
      <w:szCs w:val="26"/>
    </w:rPr>
  </w:style>
  <w:style w:type="paragraph" w:styleId="ListParagraph">
    <w:name w:val="List Paragraph"/>
    <w:basedOn w:val="Normal"/>
    <w:uiPriority w:val="34"/>
    <w:qFormat/>
    <w:rsid w:val="00BF58D4"/>
    <w:pPr>
      <w:ind w:left="720"/>
      <w:contextualSpacing/>
    </w:pPr>
  </w:style>
  <w:style w:type="character" w:customStyle="1" w:styleId="Heading3Char">
    <w:name w:val="Heading 3 Char"/>
    <w:basedOn w:val="DefaultParagraphFont"/>
    <w:link w:val="Heading3"/>
    <w:uiPriority w:val="9"/>
    <w:semiHidden/>
    <w:rsid w:val="00642309"/>
    <w:rPr>
      <w:rFonts w:eastAsiaTheme="majorEastAsia" w:cstheme="majorBidi"/>
      <w:color w:val="2D4D85" w:themeColor="accent1" w:themeShade="BF"/>
      <w:sz w:val="28"/>
      <w:szCs w:val="28"/>
    </w:rPr>
  </w:style>
  <w:style w:type="character" w:customStyle="1" w:styleId="Heading4Char">
    <w:name w:val="Heading 4 Char"/>
    <w:basedOn w:val="DefaultParagraphFont"/>
    <w:link w:val="Heading4"/>
    <w:uiPriority w:val="9"/>
    <w:semiHidden/>
    <w:rsid w:val="00642309"/>
    <w:rPr>
      <w:rFonts w:eastAsiaTheme="majorEastAsia" w:cstheme="majorBidi"/>
      <w:i/>
      <w:iCs/>
      <w:color w:val="2D4D85" w:themeColor="accent1" w:themeShade="BF"/>
    </w:rPr>
  </w:style>
  <w:style w:type="character" w:customStyle="1" w:styleId="Heading5Char">
    <w:name w:val="Heading 5 Char"/>
    <w:basedOn w:val="DefaultParagraphFont"/>
    <w:link w:val="Heading5"/>
    <w:uiPriority w:val="9"/>
    <w:semiHidden/>
    <w:rsid w:val="00642309"/>
    <w:rPr>
      <w:rFonts w:eastAsiaTheme="majorEastAsia" w:cstheme="majorBidi"/>
      <w:color w:val="2D4D85" w:themeColor="accent1" w:themeShade="BF"/>
    </w:rPr>
  </w:style>
  <w:style w:type="character" w:customStyle="1" w:styleId="Heading6Char">
    <w:name w:val="Heading 6 Char"/>
    <w:basedOn w:val="DefaultParagraphFont"/>
    <w:link w:val="Heading6"/>
    <w:uiPriority w:val="9"/>
    <w:semiHidden/>
    <w:rsid w:val="0064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309"/>
    <w:rPr>
      <w:rFonts w:eastAsiaTheme="majorEastAsia" w:cstheme="majorBidi"/>
      <w:color w:val="272727" w:themeColor="text1" w:themeTint="D8"/>
    </w:rPr>
  </w:style>
  <w:style w:type="paragraph" w:styleId="Title">
    <w:name w:val="Title"/>
    <w:basedOn w:val="Normal"/>
    <w:next w:val="Normal"/>
    <w:link w:val="TitleChar"/>
    <w:uiPriority w:val="10"/>
    <w:qFormat/>
    <w:rsid w:val="0064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309"/>
    <w:pPr>
      <w:spacing w:before="160"/>
      <w:jc w:val="center"/>
    </w:pPr>
    <w:rPr>
      <w:i/>
      <w:iCs/>
      <w:color w:val="404040" w:themeColor="text1" w:themeTint="BF"/>
    </w:rPr>
  </w:style>
  <w:style w:type="character" w:customStyle="1" w:styleId="QuoteChar">
    <w:name w:val="Quote Char"/>
    <w:basedOn w:val="DefaultParagraphFont"/>
    <w:link w:val="Quote"/>
    <w:uiPriority w:val="29"/>
    <w:rsid w:val="00642309"/>
    <w:rPr>
      <w:i/>
      <w:iCs/>
      <w:color w:val="404040" w:themeColor="text1" w:themeTint="BF"/>
    </w:rPr>
  </w:style>
  <w:style w:type="character" w:styleId="IntenseEmphasis">
    <w:name w:val="Intense Emphasis"/>
    <w:basedOn w:val="DefaultParagraphFont"/>
    <w:uiPriority w:val="21"/>
    <w:qFormat/>
    <w:rsid w:val="00642309"/>
    <w:rPr>
      <w:i/>
      <w:iCs/>
      <w:color w:val="2D4D85" w:themeColor="accent1" w:themeShade="BF"/>
    </w:rPr>
  </w:style>
  <w:style w:type="paragraph" w:styleId="IntenseQuote">
    <w:name w:val="Intense Quote"/>
    <w:basedOn w:val="Normal"/>
    <w:next w:val="Normal"/>
    <w:link w:val="IntenseQuoteChar"/>
    <w:uiPriority w:val="30"/>
    <w:qFormat/>
    <w:rsid w:val="00642309"/>
    <w:pPr>
      <w:pBdr>
        <w:top w:val="single" w:sz="4" w:space="10" w:color="2D4D85" w:themeColor="accent1" w:themeShade="BF"/>
        <w:bottom w:val="single" w:sz="4" w:space="10" w:color="2D4D85" w:themeColor="accent1" w:themeShade="BF"/>
      </w:pBdr>
      <w:spacing w:before="360" w:after="360"/>
      <w:ind w:left="864" w:right="864"/>
      <w:jc w:val="center"/>
    </w:pPr>
    <w:rPr>
      <w:i/>
      <w:iCs/>
      <w:color w:val="2D4D85" w:themeColor="accent1" w:themeShade="BF"/>
    </w:rPr>
  </w:style>
  <w:style w:type="character" w:customStyle="1" w:styleId="IntenseQuoteChar">
    <w:name w:val="Intense Quote Char"/>
    <w:basedOn w:val="DefaultParagraphFont"/>
    <w:link w:val="IntenseQuote"/>
    <w:uiPriority w:val="30"/>
    <w:rsid w:val="00642309"/>
    <w:rPr>
      <w:i/>
      <w:iCs/>
      <w:color w:val="2D4D85" w:themeColor="accent1" w:themeShade="BF"/>
    </w:rPr>
  </w:style>
  <w:style w:type="character" w:styleId="IntenseReference">
    <w:name w:val="Intense Reference"/>
    <w:basedOn w:val="DefaultParagraphFont"/>
    <w:uiPriority w:val="32"/>
    <w:qFormat/>
    <w:rsid w:val="00642309"/>
    <w:rPr>
      <w:b/>
      <w:bCs/>
      <w:smallCaps/>
      <w:color w:val="2D4D85" w:themeColor="accent1" w:themeShade="BF"/>
      <w:spacing w:val="5"/>
    </w:rPr>
  </w:style>
  <w:style w:type="paragraph" w:styleId="CommentText">
    <w:name w:val="annotation text"/>
    <w:basedOn w:val="Normal"/>
    <w:link w:val="CommentTextChar"/>
    <w:uiPriority w:val="99"/>
    <w:semiHidden/>
    <w:unhideWhenUsed/>
    <w:rsid w:val="00642309"/>
    <w:pPr>
      <w:spacing w:line="240" w:lineRule="auto"/>
    </w:pPr>
    <w:rPr>
      <w:sz w:val="20"/>
      <w:szCs w:val="20"/>
    </w:rPr>
  </w:style>
  <w:style w:type="character" w:customStyle="1" w:styleId="CommentTextChar">
    <w:name w:val="Comment Text Char"/>
    <w:basedOn w:val="DefaultParagraphFont"/>
    <w:link w:val="CommentText"/>
    <w:uiPriority w:val="99"/>
    <w:semiHidden/>
    <w:rsid w:val="00642309"/>
    <w:rPr>
      <w:sz w:val="20"/>
      <w:szCs w:val="20"/>
    </w:rPr>
  </w:style>
  <w:style w:type="character" w:styleId="CommentReference">
    <w:name w:val="annotation reference"/>
    <w:basedOn w:val="DefaultParagraphFont"/>
    <w:uiPriority w:val="99"/>
    <w:unhideWhenUsed/>
    <w:rsid w:val="00642309"/>
    <w:rPr>
      <w:sz w:val="16"/>
      <w:szCs w:val="16"/>
    </w:rPr>
  </w:style>
  <w:style w:type="paragraph" w:styleId="Header">
    <w:name w:val="header"/>
    <w:basedOn w:val="Normal"/>
    <w:link w:val="HeaderChar"/>
    <w:uiPriority w:val="99"/>
    <w:unhideWhenUsed/>
    <w:rsid w:val="0064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09"/>
  </w:style>
  <w:style w:type="paragraph" w:styleId="Footer">
    <w:name w:val="footer"/>
    <w:basedOn w:val="Normal"/>
    <w:link w:val="FooterChar"/>
    <w:uiPriority w:val="99"/>
    <w:unhideWhenUsed/>
    <w:rsid w:val="0064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I2022">
  <a:themeElements>
    <a:clrScheme name="Knowledge Institute">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E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4B3A3E4385949AA19F35514F48D0B" ma:contentTypeVersion="14" ma:contentTypeDescription="Create a new document." ma:contentTypeScope="" ma:versionID="41da890b54b4d744c395cf41bdfa5823">
  <xsd:schema xmlns:xsd="http://www.w3.org/2001/XMLSchema" xmlns:xs="http://www.w3.org/2001/XMLSchema" xmlns:p="http://schemas.microsoft.com/office/2006/metadata/properties" xmlns:ns2="7788442b-efe6-444a-b3be-c3715445cc28" xmlns:ns3="ff087641-f7d0-4dd2-be6e-8102acb0f7e6" targetNamespace="http://schemas.microsoft.com/office/2006/metadata/properties" ma:root="true" ma:fieldsID="293a6d5da2932b3cfd92c3484f23c141" ns2:_="" ns3:_="">
    <xsd:import namespace="7788442b-efe6-444a-b3be-c3715445cc28"/>
    <xsd:import namespace="ff087641-f7d0-4dd2-be6e-8102acb0f7e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a6971a-6907-4fab-bc19-64fb41050c40}"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87641-f7d0-4dd2-be6e-8102acb0f7e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87641-f7d0-4dd2-be6e-8102acb0f7e6">
      <Terms xmlns="http://schemas.microsoft.com/office/infopath/2007/PartnerControls"/>
    </lcf76f155ced4ddcb4097134ff3c332f>
    <TaxCatchAll xmlns="7788442b-efe6-444a-b3be-c3715445cc28" xsi:nil="true"/>
    <_dlc_DocId xmlns="7788442b-efe6-444a-b3be-c3715445cc28">Q5KQXAREDMDP-1746324570-21998</_dlc_DocId>
    <_dlc_DocIdUrl xmlns="7788442b-efe6-444a-b3be-c3715445cc28">
      <Url>https://mycheo.sharepoint.com/sites/SS_CYMHA_KnowledgeInstitute/_layouts/15/DocIdRedir.aspx?ID=Q5KQXAREDMDP-1746324570-21998</Url>
      <Description>Q5KQXAREDMDP-1746324570-21998</Description>
    </_dlc_DocIdUrl>
  </documentManagement>
</p:properties>
</file>

<file path=customXml/itemProps1.xml><?xml version="1.0" encoding="utf-8"?>
<ds:datastoreItem xmlns:ds="http://schemas.openxmlformats.org/officeDocument/2006/customXml" ds:itemID="{48F1208E-5C5F-40F4-9F44-0412737E0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f087641-f7d0-4dd2-be6e-8102acb0f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E9ED5-BD7C-47A2-841F-99204DE54709}">
  <ds:schemaRefs>
    <ds:schemaRef ds:uri="http://schemas.microsoft.com/sharepoint/events"/>
  </ds:schemaRefs>
</ds:datastoreItem>
</file>

<file path=customXml/itemProps3.xml><?xml version="1.0" encoding="utf-8"?>
<ds:datastoreItem xmlns:ds="http://schemas.openxmlformats.org/officeDocument/2006/customXml" ds:itemID="{3B4AAFE7-E14F-4230-A65B-1F8B6959CCB2}">
  <ds:schemaRefs>
    <ds:schemaRef ds:uri="http://schemas.microsoft.com/sharepoint/v3/contenttype/forms"/>
  </ds:schemaRefs>
</ds:datastoreItem>
</file>

<file path=customXml/itemProps4.xml><?xml version="1.0" encoding="utf-8"?>
<ds:datastoreItem xmlns:ds="http://schemas.openxmlformats.org/officeDocument/2006/customXml" ds:itemID="{9C573667-32D4-4A72-A70A-7A8B605A0738}">
  <ds:schemaRefs>
    <ds:schemaRef ds:uri="http://schemas.microsoft.com/office/2006/metadata/properties"/>
    <ds:schemaRef ds:uri="http://schemas.microsoft.com/office/infopath/2007/PartnerControls"/>
    <ds:schemaRef ds:uri="ff087641-f7d0-4dd2-be6e-8102acb0f7e6"/>
    <ds:schemaRef ds:uri="7788442b-efe6-444a-b3be-c3715445cc2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1589</Words>
  <Characters>8990</Characters>
  <Application>Microsoft Office Word</Application>
  <DocSecurity>0</DocSecurity>
  <Lines>371</Lines>
  <Paragraphs>107</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Nikky</dc:creator>
  <cp:keywords/>
  <dc:description/>
  <cp:lastModifiedBy>Summers, Nikky</cp:lastModifiedBy>
  <cp:revision>3</cp:revision>
  <dcterms:created xsi:type="dcterms:W3CDTF">2025-02-28T20:47:00Z</dcterms:created>
  <dcterms:modified xsi:type="dcterms:W3CDTF">2025-02-28T20:49:00Z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37d026ec-c51e-4277-a079-21796f3bbf39</vt:lpwstr>
  </property>
  <property fmtid="{D5CDD505-2E9C-101B-9397-08002B2CF9AE}" pid="3" name="ContentTypeId">
    <vt:lpwstr>0x01010078B4B3A3E4385949AA19F35514F48D0B</vt:lpwstr>
  </property>
  <property fmtid="{D5CDD505-2E9C-101B-9397-08002B2CF9AE}" pid="4" name="MediaServiceImageTags">
    <vt:lpwstr/>
  </property>
  <property fmtid="{D5CDD505-2E9C-101B-9397-08002B2CF9AE}" pid="5" name="_dlc_DocIdItemGuid">
    <vt:lpwstr>2e98e2f2-ba80-4557-93b0-fd55435e1874</vt:lpwstr>
  </property>
</Properties>
</file>